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FD" w:rsidRDefault="001C7FFD" w:rsidP="001C7FFD">
      <w:r>
        <w:rPr>
          <w:noProof/>
        </w:rPr>
        <w:drawing>
          <wp:anchor distT="0" distB="0" distL="114300" distR="114300" simplePos="0" relativeHeight="251658240" behindDoc="0" locked="0" layoutInCell="1" allowOverlap="1">
            <wp:simplePos x="0" y="0"/>
            <wp:positionH relativeFrom="column">
              <wp:posOffset>-140970</wp:posOffset>
            </wp:positionH>
            <wp:positionV relativeFrom="paragraph">
              <wp:posOffset>70485</wp:posOffset>
            </wp:positionV>
            <wp:extent cx="1856740" cy="727075"/>
            <wp:effectExtent l="19050" t="0" r="0" b="0"/>
            <wp:wrapSquare wrapText="bothSides"/>
            <wp:docPr id="2" name="Picture 2" descr="IATI logo horizont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TI logo horizontal RGB"/>
                    <pic:cNvPicPr>
                      <a:picLocks noChangeAspect="1" noChangeArrowheads="1"/>
                    </pic:cNvPicPr>
                  </pic:nvPicPr>
                  <pic:blipFill>
                    <a:blip r:embed="rId8" cstate="print"/>
                    <a:srcRect/>
                    <a:stretch>
                      <a:fillRect/>
                    </a:stretch>
                  </pic:blipFill>
                  <pic:spPr bwMode="auto">
                    <a:xfrm>
                      <a:off x="0" y="0"/>
                      <a:ext cx="1856740" cy="727075"/>
                    </a:xfrm>
                    <a:prstGeom prst="rect">
                      <a:avLst/>
                    </a:prstGeom>
                    <a:noFill/>
                    <a:ln w="9525">
                      <a:noFill/>
                      <a:miter lim="800000"/>
                      <a:headEnd/>
                      <a:tailEnd/>
                    </a:ln>
                  </pic:spPr>
                </pic:pic>
              </a:graphicData>
            </a:graphic>
          </wp:anchor>
        </w:drawing>
      </w:r>
      <w:r>
        <w:tab/>
      </w:r>
      <w:r>
        <w:tab/>
      </w:r>
      <w:r>
        <w:tab/>
      </w:r>
      <w:r>
        <w:tab/>
      </w:r>
      <w:r>
        <w:tab/>
      </w:r>
      <w:r>
        <w:tab/>
      </w:r>
      <w:r>
        <w:tab/>
      </w:r>
      <w:r>
        <w:tab/>
      </w:r>
      <w:r>
        <w:rPr>
          <w:rFonts w:ascii="Myriad Pro" w:hAnsi="Myriad Pro"/>
          <w:b w:val="0"/>
          <w:noProof/>
          <w:sz w:val="23"/>
          <w:szCs w:val="23"/>
        </w:rPr>
        <w:drawing>
          <wp:inline distT="0" distB="0" distL="0" distR="0">
            <wp:extent cx="390525" cy="798830"/>
            <wp:effectExtent l="19050" t="0" r="9525" b="0"/>
            <wp:docPr id="3" name="Picture 4" descr="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pic:cNvPicPr>
                      <a:picLocks noChangeAspect="1" noChangeArrowheads="1"/>
                    </pic:cNvPicPr>
                  </pic:nvPicPr>
                  <pic:blipFill>
                    <a:blip r:embed="rId9" cstate="print"/>
                    <a:srcRect/>
                    <a:stretch>
                      <a:fillRect/>
                    </a:stretch>
                  </pic:blipFill>
                  <pic:spPr bwMode="auto">
                    <a:xfrm>
                      <a:off x="0" y="0"/>
                      <a:ext cx="390525" cy="798830"/>
                    </a:xfrm>
                    <a:prstGeom prst="rect">
                      <a:avLst/>
                    </a:prstGeom>
                    <a:noFill/>
                    <a:ln w="9525">
                      <a:noFill/>
                      <a:miter lim="800000"/>
                      <a:headEnd/>
                      <a:tailEnd/>
                    </a:ln>
                  </pic:spPr>
                </pic:pic>
              </a:graphicData>
            </a:graphic>
          </wp:inline>
        </w:drawing>
      </w:r>
    </w:p>
    <w:p w:rsidR="00091DD7" w:rsidRDefault="00A53B75" w:rsidP="00333DFD">
      <w:pPr>
        <w:jc w:val="center"/>
      </w:pPr>
      <w:r>
        <w:t>Partner Countries and the International Aid Transparency Initiative</w:t>
      </w:r>
    </w:p>
    <w:p w:rsidR="00A53B75" w:rsidRDefault="00A53B75" w:rsidP="00333DFD">
      <w:pPr>
        <w:jc w:val="center"/>
      </w:pPr>
      <w:r>
        <w:t xml:space="preserve">Synthesis </w:t>
      </w:r>
      <w:r w:rsidR="00E85249">
        <w:t>r</w:t>
      </w:r>
      <w:r>
        <w:t xml:space="preserve">eport from the </w:t>
      </w:r>
      <w:r w:rsidR="00E85249">
        <w:t>6 r</w:t>
      </w:r>
      <w:r>
        <w:t>egional</w:t>
      </w:r>
      <w:r w:rsidR="00E85249">
        <w:t>/sub-regional</w:t>
      </w:r>
      <w:r>
        <w:t xml:space="preserve"> partner country consultations</w:t>
      </w:r>
    </w:p>
    <w:p w:rsidR="00E85249" w:rsidRDefault="00E85249" w:rsidP="00333DFD">
      <w:pPr>
        <w:jc w:val="center"/>
      </w:pPr>
      <w:r>
        <w:t>prepared for the IATI Steering Committee on 30  September 2009</w:t>
      </w:r>
    </w:p>
    <w:p w:rsidR="00A53B75" w:rsidRDefault="00A53B75" w:rsidP="00333DFD">
      <w:pPr>
        <w:jc w:val="center"/>
      </w:pPr>
      <w:r>
        <w:t>June – September 2009</w:t>
      </w:r>
    </w:p>
    <w:p w:rsidR="00A53B75" w:rsidRPr="00CA737C" w:rsidRDefault="00A53B75" w:rsidP="00B062D7">
      <w:pPr>
        <w:pStyle w:val="ListParagraph"/>
        <w:numPr>
          <w:ilvl w:val="0"/>
          <w:numId w:val="11"/>
        </w:numPr>
        <w:tabs>
          <w:tab w:val="left" w:pos="2517"/>
        </w:tabs>
        <w:jc w:val="both"/>
        <w:rPr>
          <w:b w:val="0"/>
        </w:rPr>
      </w:pPr>
      <w:r w:rsidRPr="00867DAB">
        <w:t>Background:</w:t>
      </w:r>
      <w:r w:rsidR="00CA737C">
        <w:t xml:space="preserve"> </w:t>
      </w:r>
      <w:r w:rsidR="00E901A3" w:rsidRPr="00CA737C">
        <w:rPr>
          <w:b w:val="0"/>
        </w:rPr>
        <w:t xml:space="preserve">In the period June – September 2009, UNDP </w:t>
      </w:r>
      <w:r w:rsidR="00333DFD" w:rsidRPr="00CA737C">
        <w:rPr>
          <w:b w:val="0"/>
        </w:rPr>
        <w:t>as a member of the IATI Secretariat mandated with</w:t>
      </w:r>
      <w:r w:rsidR="00B062D7" w:rsidRPr="00CA737C">
        <w:rPr>
          <w:b w:val="0"/>
        </w:rPr>
        <w:t xml:space="preserve"> outreach to partner countries </w:t>
      </w:r>
      <w:r w:rsidR="00E901A3" w:rsidRPr="00CA737C">
        <w:rPr>
          <w:b w:val="0"/>
        </w:rPr>
        <w:t xml:space="preserve">organized </w:t>
      </w:r>
      <w:r w:rsidR="004B37A6" w:rsidRPr="00CA737C">
        <w:rPr>
          <w:b w:val="0"/>
        </w:rPr>
        <w:t>4</w:t>
      </w:r>
      <w:r w:rsidR="00E901A3" w:rsidRPr="00CA737C">
        <w:rPr>
          <w:b w:val="0"/>
        </w:rPr>
        <w:t xml:space="preserve"> regional </w:t>
      </w:r>
      <w:r w:rsidR="004B37A6" w:rsidRPr="00CA737C">
        <w:rPr>
          <w:b w:val="0"/>
        </w:rPr>
        <w:t xml:space="preserve">and 2 sub-regional </w:t>
      </w:r>
      <w:r w:rsidR="00E901A3" w:rsidRPr="00CA737C">
        <w:rPr>
          <w:b w:val="0"/>
        </w:rPr>
        <w:t xml:space="preserve">consultations for partner countries on IATI. </w:t>
      </w:r>
      <w:r w:rsidR="00B062D7" w:rsidRPr="00CA737C">
        <w:rPr>
          <w:b w:val="0"/>
        </w:rPr>
        <w:t xml:space="preserve">The consultations were </w:t>
      </w:r>
      <w:r w:rsidR="002654B4">
        <w:rPr>
          <w:b w:val="0"/>
        </w:rPr>
        <w:t>funded</w:t>
      </w:r>
      <w:r w:rsidR="00B062D7" w:rsidRPr="00CA737C">
        <w:rPr>
          <w:b w:val="0"/>
        </w:rPr>
        <w:t xml:space="preserve"> by DFID. UNDP Country Offices </w:t>
      </w:r>
      <w:r w:rsidR="004B37A6" w:rsidRPr="00CA737C">
        <w:rPr>
          <w:b w:val="0"/>
        </w:rPr>
        <w:t xml:space="preserve">(CO) </w:t>
      </w:r>
      <w:r w:rsidR="00B062D7" w:rsidRPr="00CA737C">
        <w:rPr>
          <w:b w:val="0"/>
        </w:rPr>
        <w:t xml:space="preserve">also contributed </w:t>
      </w:r>
      <w:r w:rsidR="004B37A6" w:rsidRPr="00CA737C">
        <w:rPr>
          <w:b w:val="0"/>
        </w:rPr>
        <w:t>monetarily</w:t>
      </w:r>
      <w:r w:rsidR="00B062D7" w:rsidRPr="00CA737C">
        <w:rPr>
          <w:b w:val="0"/>
        </w:rPr>
        <w:t xml:space="preserve"> by covering the travel and per diem costs for additional</w:t>
      </w:r>
      <w:r w:rsidR="004B37A6">
        <w:rPr>
          <w:rStyle w:val="FootnoteReference"/>
          <w:b w:val="0"/>
        </w:rPr>
        <w:footnoteReference w:id="1"/>
      </w:r>
      <w:r w:rsidR="00B062D7" w:rsidRPr="00CA737C">
        <w:rPr>
          <w:b w:val="0"/>
        </w:rPr>
        <w:t xml:space="preserve"> government representatives </w:t>
      </w:r>
      <w:r w:rsidR="00F949AF" w:rsidRPr="00CA737C">
        <w:rPr>
          <w:b w:val="0"/>
        </w:rPr>
        <w:t xml:space="preserve">from their respective countries, as well as </w:t>
      </w:r>
      <w:r w:rsidR="004B37A6" w:rsidRPr="00CA737C">
        <w:rPr>
          <w:b w:val="0"/>
        </w:rPr>
        <w:t xml:space="preserve">by providing </w:t>
      </w:r>
      <w:r w:rsidR="00F949AF" w:rsidRPr="00CA737C">
        <w:rPr>
          <w:b w:val="0"/>
        </w:rPr>
        <w:t xml:space="preserve">in kind </w:t>
      </w:r>
      <w:r w:rsidR="004B37A6" w:rsidRPr="00CA737C">
        <w:rPr>
          <w:b w:val="0"/>
        </w:rPr>
        <w:t xml:space="preserve">contribution </w:t>
      </w:r>
      <w:r w:rsidR="00F949AF" w:rsidRPr="00CA737C">
        <w:rPr>
          <w:b w:val="0"/>
        </w:rPr>
        <w:t xml:space="preserve">in terms of coordinating </w:t>
      </w:r>
      <w:r w:rsidR="004B37A6" w:rsidRPr="00CA737C">
        <w:rPr>
          <w:b w:val="0"/>
        </w:rPr>
        <w:t>and facilitating partner countries’ preparations and attendance.</w:t>
      </w:r>
      <w:r w:rsidR="00B062D7" w:rsidRPr="00CA737C">
        <w:rPr>
          <w:b w:val="0"/>
        </w:rPr>
        <w:t xml:space="preserve"> </w:t>
      </w:r>
    </w:p>
    <w:p w:rsidR="00333DFD" w:rsidRDefault="00E901A3" w:rsidP="00B062D7">
      <w:pPr>
        <w:jc w:val="both"/>
        <w:rPr>
          <w:b w:val="0"/>
        </w:rPr>
      </w:pPr>
      <w:r w:rsidRPr="00333DFD">
        <w:rPr>
          <w:b w:val="0"/>
        </w:rPr>
        <w:t>The objective</w:t>
      </w:r>
      <w:r w:rsidR="00645AB5">
        <w:rPr>
          <w:b w:val="0"/>
        </w:rPr>
        <w:t>s</w:t>
      </w:r>
      <w:r w:rsidRPr="00333DFD">
        <w:rPr>
          <w:b w:val="0"/>
        </w:rPr>
        <w:t xml:space="preserve"> of the</w:t>
      </w:r>
      <w:r w:rsidR="00B062D7">
        <w:rPr>
          <w:b w:val="0"/>
        </w:rPr>
        <w:t xml:space="preserve"> </w:t>
      </w:r>
      <w:r w:rsidR="004B37A6">
        <w:rPr>
          <w:b w:val="0"/>
        </w:rPr>
        <w:t>partner country (PC)</w:t>
      </w:r>
      <w:r w:rsidR="00B062D7">
        <w:rPr>
          <w:b w:val="0"/>
        </w:rPr>
        <w:t xml:space="preserve"> consultations</w:t>
      </w:r>
      <w:r w:rsidRPr="00333DFD">
        <w:rPr>
          <w:b w:val="0"/>
        </w:rPr>
        <w:t xml:space="preserve"> </w:t>
      </w:r>
      <w:r w:rsidR="00645AB5">
        <w:rPr>
          <w:b w:val="0"/>
        </w:rPr>
        <w:t>were</w:t>
      </w:r>
      <w:r w:rsidRPr="00333DFD">
        <w:rPr>
          <w:b w:val="0"/>
        </w:rPr>
        <w:t xml:space="preserve"> </w:t>
      </w:r>
      <w:r w:rsidR="00333DFD">
        <w:rPr>
          <w:b w:val="0"/>
        </w:rPr>
        <w:t xml:space="preserve">to: </w:t>
      </w:r>
    </w:p>
    <w:p w:rsidR="00F1626F" w:rsidRPr="00333DFD" w:rsidRDefault="00645AB5" w:rsidP="00B062D7">
      <w:pPr>
        <w:pStyle w:val="ListParagraph"/>
        <w:numPr>
          <w:ilvl w:val="0"/>
          <w:numId w:val="3"/>
        </w:numPr>
        <w:jc w:val="both"/>
        <w:rPr>
          <w:rFonts w:cs="Arial"/>
          <w:b w:val="0"/>
        </w:rPr>
      </w:pPr>
      <w:r>
        <w:rPr>
          <w:rFonts w:cs="Arial"/>
          <w:b w:val="0"/>
        </w:rPr>
        <w:t>f</w:t>
      </w:r>
      <w:r w:rsidR="00F1626F" w:rsidRPr="00333DFD">
        <w:rPr>
          <w:rFonts w:cs="Arial"/>
          <w:b w:val="0"/>
        </w:rPr>
        <w:t xml:space="preserve">amiliarize </w:t>
      </w:r>
      <w:r w:rsidR="00B062D7">
        <w:rPr>
          <w:rFonts w:cs="Arial"/>
          <w:b w:val="0"/>
        </w:rPr>
        <w:t xml:space="preserve">PC </w:t>
      </w:r>
      <w:r w:rsidR="00F1626F" w:rsidRPr="00333DFD">
        <w:rPr>
          <w:rFonts w:cs="Arial"/>
          <w:b w:val="0"/>
        </w:rPr>
        <w:t xml:space="preserve">and </w:t>
      </w:r>
      <w:r w:rsidR="00B062D7">
        <w:rPr>
          <w:rFonts w:cs="Arial"/>
          <w:b w:val="0"/>
        </w:rPr>
        <w:t xml:space="preserve">other </w:t>
      </w:r>
      <w:r w:rsidR="00F1626F" w:rsidRPr="00333DFD">
        <w:rPr>
          <w:rFonts w:cs="Arial"/>
          <w:b w:val="0"/>
        </w:rPr>
        <w:t xml:space="preserve">stakeholders with IATI and its </w:t>
      </w:r>
      <w:r>
        <w:rPr>
          <w:rFonts w:cs="Arial"/>
          <w:b w:val="0"/>
        </w:rPr>
        <w:t>goals</w:t>
      </w:r>
      <w:r w:rsidR="00F1626F" w:rsidRPr="00333DFD">
        <w:rPr>
          <w:rFonts w:cs="Arial"/>
          <w:b w:val="0"/>
        </w:rPr>
        <w:t xml:space="preserve"> as it relates to the Accra Agenda for Action (AAA), </w:t>
      </w:r>
      <w:r>
        <w:rPr>
          <w:rFonts w:cs="Arial"/>
          <w:b w:val="0"/>
        </w:rPr>
        <w:t xml:space="preserve">and </w:t>
      </w:r>
      <w:r w:rsidR="00F1626F" w:rsidRPr="00333DFD">
        <w:rPr>
          <w:rFonts w:cs="Arial"/>
          <w:b w:val="0"/>
        </w:rPr>
        <w:t>the Paris Declaration on Aid Effectiveness;</w:t>
      </w:r>
    </w:p>
    <w:p w:rsidR="00F1626F" w:rsidRPr="00F1626F" w:rsidRDefault="00645AB5" w:rsidP="00B062D7">
      <w:pPr>
        <w:pStyle w:val="Default"/>
        <w:numPr>
          <w:ilvl w:val="0"/>
          <w:numId w:val="1"/>
        </w:numPr>
        <w:jc w:val="both"/>
        <w:rPr>
          <w:rFonts w:asciiTheme="minorHAnsi" w:hAnsiTheme="minorHAnsi" w:cs="Arial"/>
          <w:sz w:val="22"/>
          <w:szCs w:val="22"/>
        </w:rPr>
      </w:pPr>
      <w:r>
        <w:rPr>
          <w:rFonts w:asciiTheme="minorHAnsi" w:hAnsiTheme="minorHAnsi" w:cs="Arial"/>
          <w:sz w:val="22"/>
          <w:szCs w:val="22"/>
        </w:rPr>
        <w:t>i</w:t>
      </w:r>
      <w:r w:rsidR="00F1626F" w:rsidRPr="00F1626F">
        <w:rPr>
          <w:rFonts w:asciiTheme="minorHAnsi" w:hAnsiTheme="minorHAnsi" w:cs="Arial"/>
          <w:sz w:val="22"/>
          <w:szCs w:val="22"/>
        </w:rPr>
        <w:t xml:space="preserve">dentify information needs of </w:t>
      </w:r>
      <w:r w:rsidR="00B062D7">
        <w:rPr>
          <w:rFonts w:asciiTheme="minorHAnsi" w:hAnsiTheme="minorHAnsi" w:cs="Arial"/>
          <w:sz w:val="22"/>
          <w:szCs w:val="22"/>
        </w:rPr>
        <w:t>PC</w:t>
      </w:r>
      <w:r w:rsidR="00F1626F" w:rsidRPr="00F1626F">
        <w:rPr>
          <w:rFonts w:asciiTheme="minorHAnsi" w:hAnsiTheme="minorHAnsi" w:cs="Arial"/>
          <w:sz w:val="22"/>
          <w:szCs w:val="22"/>
        </w:rPr>
        <w:t xml:space="preserve"> which are not currently being met, and make recommendations for areas to be included in the scope of </w:t>
      </w:r>
      <w:r w:rsidR="00333DFD">
        <w:rPr>
          <w:rFonts w:asciiTheme="minorHAnsi" w:hAnsiTheme="minorHAnsi" w:cs="Arial"/>
          <w:sz w:val="22"/>
          <w:szCs w:val="22"/>
        </w:rPr>
        <w:t>the</w:t>
      </w:r>
      <w:r w:rsidR="00F1626F" w:rsidRPr="00F1626F">
        <w:rPr>
          <w:rFonts w:asciiTheme="minorHAnsi" w:hAnsiTheme="minorHAnsi" w:cs="Arial"/>
          <w:sz w:val="22"/>
          <w:szCs w:val="22"/>
        </w:rPr>
        <w:t xml:space="preserve"> IATI standard</w:t>
      </w:r>
      <w:r w:rsidR="00B062D7">
        <w:rPr>
          <w:rFonts w:asciiTheme="minorHAnsi" w:hAnsiTheme="minorHAnsi" w:cs="Arial"/>
          <w:sz w:val="22"/>
          <w:szCs w:val="22"/>
        </w:rPr>
        <w:t xml:space="preserve">, as well as recommendations </w:t>
      </w:r>
      <w:r w:rsidR="004B37A6">
        <w:rPr>
          <w:rFonts w:asciiTheme="minorHAnsi" w:hAnsiTheme="minorHAnsi" w:cs="Arial"/>
          <w:sz w:val="22"/>
          <w:szCs w:val="22"/>
        </w:rPr>
        <w:t>with regard to</w:t>
      </w:r>
      <w:r w:rsidR="00B062D7">
        <w:rPr>
          <w:rFonts w:asciiTheme="minorHAnsi" w:hAnsiTheme="minorHAnsi" w:cs="Arial"/>
          <w:sz w:val="22"/>
          <w:szCs w:val="22"/>
        </w:rPr>
        <w:t xml:space="preserve"> the Code of Conduct</w:t>
      </w:r>
      <w:r w:rsidR="00F1626F" w:rsidRPr="00F1626F">
        <w:rPr>
          <w:rFonts w:asciiTheme="minorHAnsi" w:hAnsiTheme="minorHAnsi" w:cs="Arial"/>
          <w:sz w:val="22"/>
          <w:szCs w:val="22"/>
        </w:rPr>
        <w:t xml:space="preserve">; </w:t>
      </w:r>
    </w:p>
    <w:p w:rsidR="00F1626F" w:rsidRPr="00F1626F" w:rsidRDefault="00F1626F" w:rsidP="00B062D7">
      <w:pPr>
        <w:pStyle w:val="Default"/>
        <w:jc w:val="both"/>
        <w:rPr>
          <w:rFonts w:asciiTheme="minorHAnsi" w:hAnsiTheme="minorHAnsi" w:cs="Arial"/>
          <w:sz w:val="22"/>
          <w:szCs w:val="22"/>
        </w:rPr>
      </w:pPr>
    </w:p>
    <w:p w:rsidR="00333DFD" w:rsidRDefault="00645AB5" w:rsidP="00B062D7">
      <w:pPr>
        <w:pStyle w:val="Default"/>
        <w:numPr>
          <w:ilvl w:val="0"/>
          <w:numId w:val="1"/>
        </w:numPr>
        <w:jc w:val="both"/>
        <w:rPr>
          <w:rFonts w:asciiTheme="minorHAnsi" w:hAnsiTheme="minorHAnsi" w:cs="Arial"/>
          <w:sz w:val="22"/>
          <w:szCs w:val="22"/>
        </w:rPr>
      </w:pPr>
      <w:r>
        <w:rPr>
          <w:rFonts w:asciiTheme="minorHAnsi" w:hAnsiTheme="minorHAnsi" w:cs="Arial"/>
          <w:sz w:val="22"/>
          <w:szCs w:val="22"/>
        </w:rPr>
        <w:t>d</w:t>
      </w:r>
      <w:r w:rsidR="00333DFD" w:rsidRPr="00F1626F">
        <w:rPr>
          <w:rFonts w:asciiTheme="minorHAnsi" w:hAnsiTheme="minorHAnsi" w:cs="Arial"/>
          <w:sz w:val="22"/>
          <w:szCs w:val="22"/>
        </w:rPr>
        <w:t>iscuss how to take IATI forward at country, sub-regional, regional and global levels, incl</w:t>
      </w:r>
      <w:r w:rsidR="004B37A6">
        <w:rPr>
          <w:rFonts w:asciiTheme="minorHAnsi" w:hAnsiTheme="minorHAnsi" w:cs="Arial"/>
          <w:sz w:val="22"/>
          <w:szCs w:val="22"/>
        </w:rPr>
        <w:t>.</w:t>
      </w:r>
      <w:r w:rsidR="00333DFD" w:rsidRPr="00F1626F">
        <w:rPr>
          <w:rFonts w:asciiTheme="minorHAnsi" w:hAnsiTheme="minorHAnsi" w:cs="Arial"/>
          <w:sz w:val="22"/>
          <w:szCs w:val="22"/>
        </w:rPr>
        <w:t xml:space="preserve"> </w:t>
      </w:r>
      <w:r w:rsidR="004B37A6" w:rsidRPr="00F1626F">
        <w:rPr>
          <w:rFonts w:asciiTheme="minorHAnsi" w:hAnsiTheme="minorHAnsi" w:cs="Arial"/>
          <w:sz w:val="22"/>
          <w:szCs w:val="22"/>
        </w:rPr>
        <w:t xml:space="preserve">capacity development </w:t>
      </w:r>
      <w:r w:rsidR="00333DFD" w:rsidRPr="00F1626F">
        <w:rPr>
          <w:rFonts w:asciiTheme="minorHAnsi" w:hAnsiTheme="minorHAnsi" w:cs="Arial"/>
          <w:sz w:val="22"/>
          <w:szCs w:val="22"/>
        </w:rPr>
        <w:t>needs</w:t>
      </w:r>
      <w:r w:rsidR="004B37A6" w:rsidRPr="004B37A6">
        <w:rPr>
          <w:rFonts w:asciiTheme="minorHAnsi" w:hAnsiTheme="minorHAnsi" w:cs="Arial"/>
          <w:sz w:val="22"/>
          <w:szCs w:val="22"/>
        </w:rPr>
        <w:t xml:space="preserve"> </w:t>
      </w:r>
      <w:r w:rsidR="004B37A6">
        <w:rPr>
          <w:rFonts w:asciiTheme="minorHAnsi" w:hAnsiTheme="minorHAnsi" w:cs="Arial"/>
          <w:sz w:val="22"/>
          <w:szCs w:val="22"/>
        </w:rPr>
        <w:t xml:space="preserve">of </w:t>
      </w:r>
      <w:r w:rsidR="004B37A6" w:rsidRPr="00F1626F">
        <w:rPr>
          <w:rFonts w:asciiTheme="minorHAnsi" w:hAnsiTheme="minorHAnsi" w:cs="Arial"/>
          <w:sz w:val="22"/>
          <w:szCs w:val="22"/>
        </w:rPr>
        <w:t>partner country</w:t>
      </w:r>
      <w:r w:rsidR="00333DFD" w:rsidRPr="00F1626F">
        <w:rPr>
          <w:rFonts w:asciiTheme="minorHAnsi" w:hAnsiTheme="minorHAnsi" w:cs="Arial"/>
          <w:sz w:val="22"/>
          <w:szCs w:val="22"/>
        </w:rPr>
        <w:t>.</w:t>
      </w:r>
    </w:p>
    <w:p w:rsidR="00333DFD" w:rsidRPr="00333DFD" w:rsidRDefault="00333DFD" w:rsidP="00B062D7">
      <w:pPr>
        <w:pStyle w:val="Default"/>
        <w:jc w:val="both"/>
        <w:rPr>
          <w:rFonts w:asciiTheme="minorHAnsi" w:hAnsiTheme="minorHAnsi" w:cs="Arial"/>
          <w:sz w:val="22"/>
          <w:szCs w:val="22"/>
        </w:rPr>
      </w:pPr>
    </w:p>
    <w:p w:rsidR="00F1626F" w:rsidRPr="00F1626F" w:rsidRDefault="00645AB5" w:rsidP="00B062D7">
      <w:pPr>
        <w:pStyle w:val="Default"/>
        <w:numPr>
          <w:ilvl w:val="0"/>
          <w:numId w:val="1"/>
        </w:numPr>
        <w:jc w:val="both"/>
        <w:rPr>
          <w:rFonts w:asciiTheme="minorHAnsi" w:hAnsiTheme="minorHAnsi" w:cs="Arial"/>
          <w:sz w:val="22"/>
          <w:szCs w:val="22"/>
        </w:rPr>
      </w:pPr>
      <w:r>
        <w:rPr>
          <w:rFonts w:asciiTheme="minorHAnsi" w:hAnsiTheme="minorHAnsi" w:cs="Arial"/>
          <w:sz w:val="22"/>
          <w:szCs w:val="22"/>
        </w:rPr>
        <w:t>f</w:t>
      </w:r>
      <w:r w:rsidR="00F1626F" w:rsidRPr="00F1626F">
        <w:rPr>
          <w:rFonts w:asciiTheme="minorHAnsi" w:hAnsiTheme="minorHAnsi" w:cs="Arial"/>
          <w:sz w:val="22"/>
          <w:szCs w:val="22"/>
        </w:rPr>
        <w:t xml:space="preserve">acilitate </w:t>
      </w:r>
      <w:r w:rsidR="002654B4">
        <w:rPr>
          <w:rFonts w:asciiTheme="minorHAnsi" w:hAnsiTheme="minorHAnsi" w:cs="Arial"/>
          <w:sz w:val="22"/>
          <w:szCs w:val="22"/>
        </w:rPr>
        <w:t xml:space="preserve">peer </w:t>
      </w:r>
      <w:r w:rsidR="002654B4" w:rsidRPr="00F1626F">
        <w:rPr>
          <w:rFonts w:asciiTheme="minorHAnsi" w:hAnsiTheme="minorHAnsi" w:cs="Arial"/>
          <w:sz w:val="22"/>
          <w:szCs w:val="22"/>
        </w:rPr>
        <w:t xml:space="preserve">exchange and </w:t>
      </w:r>
      <w:r w:rsidR="00F1626F" w:rsidRPr="00F1626F">
        <w:rPr>
          <w:rFonts w:asciiTheme="minorHAnsi" w:hAnsiTheme="minorHAnsi" w:cs="Arial"/>
          <w:sz w:val="22"/>
          <w:szCs w:val="22"/>
        </w:rPr>
        <w:t>learning on good practices, lessons learnt and challenges from the deployment of Aid Information Management Systems (AIM</w:t>
      </w:r>
      <w:r w:rsidR="002654B4">
        <w:rPr>
          <w:rFonts w:asciiTheme="minorHAnsi" w:hAnsiTheme="minorHAnsi" w:cs="Arial"/>
          <w:sz w:val="22"/>
          <w:szCs w:val="22"/>
        </w:rPr>
        <w:t>s</w:t>
      </w:r>
      <w:r w:rsidR="00F1626F" w:rsidRPr="00F1626F">
        <w:rPr>
          <w:rFonts w:asciiTheme="minorHAnsi" w:hAnsiTheme="minorHAnsi" w:cs="Arial"/>
          <w:sz w:val="22"/>
          <w:szCs w:val="22"/>
        </w:rPr>
        <w:t>), and how IATI can help to improve the effectiveness of such systems, as well as how best practices and experiences with country AIM</w:t>
      </w:r>
      <w:r w:rsidR="002654B4">
        <w:rPr>
          <w:rFonts w:asciiTheme="minorHAnsi" w:hAnsiTheme="minorHAnsi" w:cs="Arial"/>
          <w:sz w:val="22"/>
          <w:szCs w:val="22"/>
        </w:rPr>
        <w:t>s</w:t>
      </w:r>
      <w:r w:rsidR="00F1626F" w:rsidRPr="00F1626F">
        <w:rPr>
          <w:rFonts w:asciiTheme="minorHAnsi" w:hAnsiTheme="minorHAnsi" w:cs="Arial"/>
          <w:sz w:val="22"/>
          <w:szCs w:val="22"/>
        </w:rPr>
        <w:t xml:space="preserve"> can feed into the development of an IATI standard</w:t>
      </w:r>
      <w:r w:rsidR="00B062D7">
        <w:rPr>
          <w:rFonts w:asciiTheme="minorHAnsi" w:hAnsiTheme="minorHAnsi" w:cs="Arial"/>
          <w:sz w:val="22"/>
          <w:szCs w:val="22"/>
        </w:rPr>
        <w:t>.</w:t>
      </w:r>
    </w:p>
    <w:p w:rsidR="00F1626F" w:rsidRPr="00F1626F" w:rsidRDefault="00F1626F" w:rsidP="00B062D7">
      <w:pPr>
        <w:pStyle w:val="Default"/>
        <w:ind w:left="720"/>
        <w:jc w:val="both"/>
        <w:rPr>
          <w:rFonts w:asciiTheme="minorHAnsi" w:hAnsiTheme="minorHAnsi" w:cs="Arial"/>
          <w:sz w:val="22"/>
          <w:szCs w:val="22"/>
        </w:rPr>
      </w:pPr>
    </w:p>
    <w:p w:rsidR="00377C25" w:rsidRDefault="00B062D7" w:rsidP="001F4562">
      <w:pPr>
        <w:jc w:val="both"/>
        <w:rPr>
          <w:b w:val="0"/>
        </w:rPr>
      </w:pPr>
      <w:r>
        <w:rPr>
          <w:b w:val="0"/>
        </w:rPr>
        <w:t xml:space="preserve">The number of </w:t>
      </w:r>
      <w:r w:rsidR="007D11BC" w:rsidRPr="00B01754">
        <w:t>PC governments</w:t>
      </w:r>
      <w:r>
        <w:rPr>
          <w:b w:val="0"/>
        </w:rPr>
        <w:t xml:space="preserve">, which took part in the consultations is </w:t>
      </w:r>
      <w:r w:rsidR="00377C25">
        <w:t xml:space="preserve">74. </w:t>
      </w:r>
      <w:r w:rsidR="00377C25" w:rsidRPr="00377C25">
        <w:rPr>
          <w:b w:val="0"/>
        </w:rPr>
        <w:t>Three</w:t>
      </w:r>
      <w:r w:rsidR="00377C25">
        <w:rPr>
          <w:b w:val="0"/>
        </w:rPr>
        <w:t xml:space="preserve"> governments, i.e. DRC, Malawi and Tanzania attended both sub-regional consultations in Africa,</w:t>
      </w:r>
      <w:r w:rsidR="00377C25" w:rsidRPr="00377C25">
        <w:rPr>
          <w:b w:val="0"/>
        </w:rPr>
        <w:t xml:space="preserve"> </w:t>
      </w:r>
      <w:r w:rsidR="00377C25">
        <w:rPr>
          <w:b w:val="0"/>
        </w:rPr>
        <w:t>while being represented by different institutions/departments. In the latter case, their participation in Accra was entirely funded by UNDP CO.</w:t>
      </w:r>
      <w:r>
        <w:rPr>
          <w:b w:val="0"/>
        </w:rPr>
        <w:t xml:space="preserve"> </w:t>
      </w:r>
      <w:r w:rsidR="00867DAB">
        <w:rPr>
          <w:b w:val="0"/>
        </w:rPr>
        <w:t>T</w:t>
      </w:r>
      <w:r>
        <w:rPr>
          <w:b w:val="0"/>
        </w:rPr>
        <w:t xml:space="preserve">able </w:t>
      </w:r>
      <w:r w:rsidR="00867DAB">
        <w:rPr>
          <w:b w:val="0"/>
        </w:rPr>
        <w:t xml:space="preserve">1 </w:t>
      </w:r>
      <w:r w:rsidR="007D11BC">
        <w:rPr>
          <w:b w:val="0"/>
        </w:rPr>
        <w:t>on page 2</w:t>
      </w:r>
      <w:r>
        <w:rPr>
          <w:b w:val="0"/>
        </w:rPr>
        <w:t xml:space="preserve"> provides an overview per region/sub-region. The </w:t>
      </w:r>
      <w:r w:rsidR="004B37A6">
        <w:rPr>
          <w:b w:val="0"/>
        </w:rPr>
        <w:t xml:space="preserve">complete </w:t>
      </w:r>
      <w:r>
        <w:rPr>
          <w:b w:val="0"/>
        </w:rPr>
        <w:t xml:space="preserve">list of countries is </w:t>
      </w:r>
      <w:r w:rsidR="00593178">
        <w:rPr>
          <w:b w:val="0"/>
        </w:rPr>
        <w:t>provided in Annex 1.</w:t>
      </w:r>
      <w:r w:rsidR="007D11BC">
        <w:rPr>
          <w:b w:val="0"/>
        </w:rPr>
        <w:t xml:space="preserve"> </w:t>
      </w:r>
      <w:r w:rsidR="00377C25">
        <w:rPr>
          <w:b w:val="0"/>
        </w:rPr>
        <w:t>It should also be noted that for Africa, a number of countries chose whether to attend the Kigali or the Accra meeting.</w:t>
      </w:r>
    </w:p>
    <w:p w:rsidR="009334A8" w:rsidRDefault="00F05E9A" w:rsidP="001F4562">
      <w:pPr>
        <w:jc w:val="both"/>
        <w:rPr>
          <w:b w:val="0"/>
        </w:rPr>
      </w:pPr>
      <w:r>
        <w:rPr>
          <w:b w:val="0"/>
        </w:rPr>
        <w:lastRenderedPageBreak/>
        <w:t xml:space="preserve">The meetings were at the expert level, although some countries were represented at the deputy ministerial/ministerial level. </w:t>
      </w:r>
      <w:r w:rsidR="00377C25">
        <w:rPr>
          <w:b w:val="0"/>
        </w:rPr>
        <w:t xml:space="preserve">Participants were mostly from ministries of planning, finance, and foreign affairs. </w:t>
      </w:r>
      <w:r w:rsidR="002654B4">
        <w:rPr>
          <w:b w:val="0"/>
        </w:rPr>
        <w:t>T</w:t>
      </w:r>
      <w:r w:rsidR="009334A8">
        <w:rPr>
          <w:b w:val="0"/>
        </w:rPr>
        <w:t xml:space="preserve">he consultations were open </w:t>
      </w:r>
      <w:r w:rsidR="00377C25">
        <w:rPr>
          <w:b w:val="0"/>
        </w:rPr>
        <w:t xml:space="preserve">as well </w:t>
      </w:r>
      <w:r w:rsidR="009334A8">
        <w:rPr>
          <w:b w:val="0"/>
        </w:rPr>
        <w:t xml:space="preserve">to </w:t>
      </w:r>
      <w:r w:rsidR="006102D4">
        <w:rPr>
          <w:b w:val="0"/>
        </w:rPr>
        <w:t xml:space="preserve">other stakeholder groups, such as </w:t>
      </w:r>
      <w:r w:rsidR="009334A8">
        <w:rPr>
          <w:b w:val="0"/>
        </w:rPr>
        <w:t>parliamenta</w:t>
      </w:r>
      <w:r w:rsidR="006102D4">
        <w:rPr>
          <w:b w:val="0"/>
        </w:rPr>
        <w:t>rians, representatives from CSO</w:t>
      </w:r>
      <w:r w:rsidR="009334A8">
        <w:rPr>
          <w:b w:val="0"/>
        </w:rPr>
        <w:t xml:space="preserve">, </w:t>
      </w:r>
      <w:r w:rsidR="00287188">
        <w:rPr>
          <w:b w:val="0"/>
        </w:rPr>
        <w:t xml:space="preserve">UNDP CO in the regions, </w:t>
      </w:r>
      <w:r w:rsidR="009334A8">
        <w:rPr>
          <w:b w:val="0"/>
        </w:rPr>
        <w:t xml:space="preserve">as well as </w:t>
      </w:r>
      <w:r w:rsidR="006102D4">
        <w:rPr>
          <w:b w:val="0"/>
        </w:rPr>
        <w:t>the donor community in the host countries</w:t>
      </w:r>
      <w:r w:rsidR="009334A8">
        <w:rPr>
          <w:b w:val="0"/>
        </w:rPr>
        <w:t>.</w:t>
      </w:r>
      <w:r w:rsidR="006102D4">
        <w:rPr>
          <w:b w:val="0"/>
        </w:rPr>
        <w:t xml:space="preserve"> The only exception was the Accra meeting, which did not include representatives from the local donor community as decided by the Ghana Ministry of Finance and Economic Planning.</w:t>
      </w:r>
      <w:r w:rsidR="009334A8">
        <w:rPr>
          <w:b w:val="0"/>
        </w:rPr>
        <w:t xml:space="preserve"> </w:t>
      </w:r>
      <w:r w:rsidR="00151BD0">
        <w:rPr>
          <w:b w:val="0"/>
        </w:rPr>
        <w:t>Development Initiatives Poverty Research also attended and presented the IATI Scoping Paper in Kigali, Bangkok, Amman and Accra.</w:t>
      </w:r>
      <w:r w:rsidR="00D060C3">
        <w:rPr>
          <w:b w:val="0"/>
        </w:rPr>
        <w:t xml:space="preserve"> Representatives from Development Gateway Foundation and Synergy International Systems presented on AMP and DAD, respectively, and their support to country AIMs.</w:t>
      </w:r>
    </w:p>
    <w:p w:rsidR="001F4562" w:rsidRDefault="006F1F6B" w:rsidP="001F4562">
      <w:pPr>
        <w:jc w:val="both"/>
        <w:rPr>
          <w:b w:val="0"/>
        </w:rPr>
      </w:pPr>
      <w:r>
        <w:rPr>
          <w:b w:val="0"/>
        </w:rPr>
        <w:t>I</w:t>
      </w:r>
      <w:r w:rsidR="001F4562">
        <w:rPr>
          <w:b w:val="0"/>
        </w:rPr>
        <w:t>n Asia and the Pacific and in the Latin America and the Caribbean</w:t>
      </w:r>
      <w:r>
        <w:rPr>
          <w:b w:val="0"/>
        </w:rPr>
        <w:t xml:space="preserve"> regions</w:t>
      </w:r>
      <w:r w:rsidR="001F4562">
        <w:rPr>
          <w:b w:val="0"/>
        </w:rPr>
        <w:t xml:space="preserve">, </w:t>
      </w:r>
      <w:r>
        <w:rPr>
          <w:b w:val="0"/>
        </w:rPr>
        <w:t>virtual consultations</w:t>
      </w:r>
      <w:r w:rsidR="001F4562">
        <w:rPr>
          <w:b w:val="0"/>
        </w:rPr>
        <w:t xml:space="preserve"> preceded</w:t>
      </w:r>
      <w:r w:rsidRPr="006F1F6B">
        <w:rPr>
          <w:b w:val="0"/>
        </w:rPr>
        <w:t xml:space="preserve"> </w:t>
      </w:r>
      <w:r>
        <w:rPr>
          <w:b w:val="0"/>
        </w:rPr>
        <w:t>the face-to-face consultations and served as a preparatory stage</w:t>
      </w:r>
      <w:r w:rsidR="006102D4">
        <w:rPr>
          <w:b w:val="0"/>
        </w:rPr>
        <w:t>.</w:t>
      </w:r>
    </w:p>
    <w:p w:rsidR="006102D4" w:rsidRDefault="006102D4" w:rsidP="001F4562">
      <w:pPr>
        <w:jc w:val="both"/>
        <w:rPr>
          <w:b w:val="0"/>
        </w:rPr>
      </w:pPr>
      <w:r>
        <w:rPr>
          <w:b w:val="0"/>
        </w:rPr>
        <w:t xml:space="preserve">Reports from the consultations can be accessed at: </w:t>
      </w:r>
      <w:hyperlink r:id="rId10" w:history="1">
        <w:r w:rsidRPr="00846D76">
          <w:rPr>
            <w:rStyle w:val="Hyperlink"/>
            <w:b w:val="0"/>
          </w:rPr>
          <w:t>http://aidtransparency.net/consultation-workshop-materials/</w:t>
        </w:r>
      </w:hyperlink>
      <w:r>
        <w:rPr>
          <w:b w:val="0"/>
        </w:rPr>
        <w:t xml:space="preserve"> as they become available.</w:t>
      </w:r>
    </w:p>
    <w:p w:rsidR="00867DAB" w:rsidRPr="00867DAB" w:rsidRDefault="00867DAB" w:rsidP="00867DAB">
      <w:pPr>
        <w:jc w:val="both"/>
        <w:rPr>
          <w:i/>
        </w:rPr>
      </w:pPr>
      <w:r w:rsidRPr="00867DAB">
        <w:rPr>
          <w:i/>
        </w:rPr>
        <w:t>Table 1:</w:t>
      </w:r>
    </w:p>
    <w:p w:rsidR="00A53B75" w:rsidRPr="00333DFD" w:rsidRDefault="00A53B75" w:rsidP="00867DAB">
      <w:pPr>
        <w:pBdr>
          <w:top w:val="single" w:sz="4" w:space="1" w:color="auto"/>
          <w:bottom w:val="single" w:sz="4" w:space="1" w:color="auto"/>
        </w:pBdr>
        <w:jc w:val="center"/>
        <w:rPr>
          <w:sz w:val="24"/>
          <w:szCs w:val="24"/>
        </w:rPr>
      </w:pPr>
      <w:r w:rsidRPr="00333DFD">
        <w:rPr>
          <w:sz w:val="24"/>
          <w:szCs w:val="24"/>
        </w:rPr>
        <w:t>Fast Facts about the Partner Country Consultations:</w:t>
      </w:r>
    </w:p>
    <w:p w:rsidR="00F1626F" w:rsidRPr="00F1626F" w:rsidRDefault="00F1626F" w:rsidP="00B062D7">
      <w:pPr>
        <w:pBdr>
          <w:bottom w:val="single" w:sz="4" w:space="1" w:color="auto"/>
        </w:pBdr>
        <w:jc w:val="both"/>
      </w:pPr>
      <w:r w:rsidRPr="00F1626F">
        <w:t>Region/sub-region:</w:t>
      </w:r>
      <w:r w:rsidRPr="00F1626F">
        <w:tab/>
        <w:t>Da</w:t>
      </w:r>
      <w:r w:rsidR="00645AB5">
        <w:t>tes:</w:t>
      </w:r>
      <w:r w:rsidR="00645AB5">
        <w:tab/>
      </w:r>
      <w:r w:rsidR="00645AB5">
        <w:tab/>
      </w:r>
      <w:r w:rsidR="00645AB5">
        <w:tab/>
        <w:t>Host Partner Country:</w:t>
      </w:r>
      <w:r w:rsidR="00645AB5">
        <w:tab/>
      </w:r>
      <w:r w:rsidR="00645AB5">
        <w:tab/>
      </w:r>
      <w:r w:rsidRPr="00F1626F">
        <w:t>Number of PC</w:t>
      </w:r>
      <w:r w:rsidR="00645AB5">
        <w:t xml:space="preserve"> GoV</w:t>
      </w:r>
      <w:r w:rsidR="001A1D3F">
        <w:t>*</w:t>
      </w:r>
      <w:r w:rsidRPr="00F1626F">
        <w:t>:</w:t>
      </w:r>
    </w:p>
    <w:p w:rsidR="00A53B75" w:rsidRPr="00F1626F" w:rsidRDefault="00F1626F" w:rsidP="00B062D7">
      <w:pPr>
        <w:jc w:val="both"/>
        <w:rPr>
          <w:b w:val="0"/>
        </w:rPr>
      </w:pPr>
      <w:r w:rsidRPr="007D11BC">
        <w:rPr>
          <w:i/>
        </w:rPr>
        <w:t>Eastern and</w:t>
      </w:r>
      <w:r w:rsidRPr="007D11BC">
        <w:rPr>
          <w:i/>
        </w:rPr>
        <w:tab/>
      </w:r>
      <w:r w:rsidRPr="00F1626F">
        <w:rPr>
          <w:b w:val="0"/>
        </w:rPr>
        <w:tab/>
        <w:t>29-30 June 2009</w:t>
      </w:r>
      <w:r w:rsidRPr="00F1626F">
        <w:rPr>
          <w:b w:val="0"/>
        </w:rPr>
        <w:tab/>
        <w:t>Rwanda</w:t>
      </w:r>
      <w:r w:rsidRPr="00F1626F">
        <w:rPr>
          <w:b w:val="0"/>
        </w:rPr>
        <w:tab/>
      </w:r>
      <w:r w:rsidRPr="00F1626F">
        <w:rPr>
          <w:b w:val="0"/>
        </w:rPr>
        <w:tab/>
      </w:r>
      <w:r w:rsidRPr="00F1626F">
        <w:rPr>
          <w:b w:val="0"/>
        </w:rPr>
        <w:tab/>
      </w:r>
      <w:r w:rsidRPr="00F1626F">
        <w:rPr>
          <w:b w:val="0"/>
        </w:rPr>
        <w:tab/>
      </w:r>
      <w:r w:rsidR="00645AB5">
        <w:rPr>
          <w:b w:val="0"/>
        </w:rPr>
        <w:tab/>
      </w:r>
      <w:r w:rsidR="00645AB5" w:rsidRPr="007D11BC">
        <w:t>11</w:t>
      </w:r>
    </w:p>
    <w:p w:rsidR="00F1626F" w:rsidRPr="007D11BC" w:rsidRDefault="00F1626F" w:rsidP="00B062D7">
      <w:pPr>
        <w:jc w:val="both"/>
        <w:rPr>
          <w:i/>
        </w:rPr>
      </w:pPr>
      <w:r w:rsidRPr="007D11BC">
        <w:rPr>
          <w:i/>
        </w:rPr>
        <w:t>Southern Africa</w:t>
      </w:r>
    </w:p>
    <w:p w:rsidR="00F1626F" w:rsidRPr="00F1626F" w:rsidRDefault="00F1626F" w:rsidP="00B062D7">
      <w:pPr>
        <w:jc w:val="both"/>
        <w:rPr>
          <w:b w:val="0"/>
        </w:rPr>
      </w:pPr>
      <w:r w:rsidRPr="007D11BC">
        <w:rPr>
          <w:i/>
        </w:rPr>
        <w:t>Europe and CIS</w:t>
      </w:r>
      <w:r w:rsidRPr="00F1626F">
        <w:rPr>
          <w:b w:val="0"/>
        </w:rPr>
        <w:tab/>
      </w:r>
      <w:r w:rsidRPr="00F1626F">
        <w:rPr>
          <w:b w:val="0"/>
        </w:rPr>
        <w:tab/>
        <w:t>6-7 July 2009</w:t>
      </w:r>
      <w:r w:rsidRPr="00F1626F">
        <w:rPr>
          <w:b w:val="0"/>
        </w:rPr>
        <w:tab/>
      </w:r>
      <w:r w:rsidRPr="00F1626F">
        <w:rPr>
          <w:b w:val="0"/>
        </w:rPr>
        <w:tab/>
        <w:t>Montenegro</w:t>
      </w:r>
      <w:r w:rsidRPr="00F1626F">
        <w:rPr>
          <w:b w:val="0"/>
        </w:rPr>
        <w:tab/>
      </w:r>
      <w:r w:rsidRPr="00F1626F">
        <w:rPr>
          <w:b w:val="0"/>
        </w:rPr>
        <w:tab/>
      </w:r>
      <w:r w:rsidRPr="00F1626F">
        <w:rPr>
          <w:b w:val="0"/>
        </w:rPr>
        <w:tab/>
      </w:r>
      <w:r w:rsidR="00645AB5">
        <w:rPr>
          <w:b w:val="0"/>
        </w:rPr>
        <w:tab/>
      </w:r>
      <w:r w:rsidR="0068744D">
        <w:rPr>
          <w:b w:val="0"/>
        </w:rPr>
        <w:t xml:space="preserve"> </w:t>
      </w:r>
      <w:r w:rsidR="0068744D" w:rsidRPr="007D11BC">
        <w:t>9</w:t>
      </w:r>
    </w:p>
    <w:p w:rsidR="00F1626F" w:rsidRPr="007D11BC" w:rsidRDefault="00F1626F" w:rsidP="00B062D7">
      <w:pPr>
        <w:jc w:val="both"/>
      </w:pPr>
      <w:r w:rsidRPr="007D11BC">
        <w:rPr>
          <w:i/>
        </w:rPr>
        <w:t>Arab States</w:t>
      </w:r>
      <w:r w:rsidRPr="00F1626F">
        <w:rPr>
          <w:b w:val="0"/>
        </w:rPr>
        <w:tab/>
      </w:r>
      <w:r w:rsidRPr="00F1626F">
        <w:rPr>
          <w:b w:val="0"/>
        </w:rPr>
        <w:tab/>
        <w:t>12-13 August 2009</w:t>
      </w:r>
      <w:r w:rsidRPr="00F1626F">
        <w:rPr>
          <w:b w:val="0"/>
        </w:rPr>
        <w:tab/>
        <w:t>Jordan</w:t>
      </w:r>
      <w:r w:rsidRPr="00F1626F">
        <w:rPr>
          <w:b w:val="0"/>
        </w:rPr>
        <w:tab/>
      </w:r>
      <w:r w:rsidRPr="00F1626F">
        <w:rPr>
          <w:b w:val="0"/>
        </w:rPr>
        <w:tab/>
      </w:r>
      <w:r w:rsidRPr="00F1626F">
        <w:rPr>
          <w:b w:val="0"/>
        </w:rPr>
        <w:tab/>
      </w:r>
      <w:r w:rsidRPr="00F1626F">
        <w:rPr>
          <w:b w:val="0"/>
        </w:rPr>
        <w:tab/>
      </w:r>
      <w:r w:rsidR="00645AB5">
        <w:rPr>
          <w:b w:val="0"/>
        </w:rPr>
        <w:tab/>
      </w:r>
      <w:r w:rsidR="0068744D">
        <w:rPr>
          <w:b w:val="0"/>
        </w:rPr>
        <w:t xml:space="preserve"> </w:t>
      </w:r>
      <w:r w:rsidR="009C75E9" w:rsidRPr="007D11BC">
        <w:t>9</w:t>
      </w:r>
    </w:p>
    <w:p w:rsidR="00F1626F" w:rsidRPr="00F1626F" w:rsidRDefault="00F1626F" w:rsidP="00B062D7">
      <w:pPr>
        <w:jc w:val="both"/>
        <w:rPr>
          <w:b w:val="0"/>
        </w:rPr>
      </w:pPr>
      <w:r w:rsidRPr="007D11BC">
        <w:rPr>
          <w:i/>
        </w:rPr>
        <w:t>Asia and the Pacific</w:t>
      </w:r>
      <w:r w:rsidRPr="007D11BC">
        <w:tab/>
      </w:r>
      <w:r w:rsidRPr="00F1626F">
        <w:rPr>
          <w:b w:val="0"/>
        </w:rPr>
        <w:t>27-28 August 2009</w:t>
      </w:r>
      <w:r w:rsidRPr="00F1626F">
        <w:rPr>
          <w:b w:val="0"/>
        </w:rPr>
        <w:tab/>
        <w:t>Thailand</w:t>
      </w:r>
      <w:r w:rsidRPr="00F1626F">
        <w:rPr>
          <w:b w:val="0"/>
        </w:rPr>
        <w:tab/>
      </w:r>
      <w:r w:rsidRPr="00F1626F">
        <w:rPr>
          <w:b w:val="0"/>
        </w:rPr>
        <w:tab/>
      </w:r>
      <w:r w:rsidRPr="00F1626F">
        <w:rPr>
          <w:b w:val="0"/>
        </w:rPr>
        <w:tab/>
      </w:r>
      <w:r w:rsidR="00645AB5">
        <w:rPr>
          <w:b w:val="0"/>
        </w:rPr>
        <w:tab/>
      </w:r>
      <w:r w:rsidR="00DA53DC" w:rsidRPr="007D11BC">
        <w:t>1</w:t>
      </w:r>
      <w:r w:rsidR="005B3760" w:rsidRPr="007D11BC">
        <w:t>7</w:t>
      </w:r>
    </w:p>
    <w:p w:rsidR="00F1626F" w:rsidRPr="00F1626F" w:rsidRDefault="00F1626F" w:rsidP="00B062D7">
      <w:pPr>
        <w:jc w:val="both"/>
        <w:rPr>
          <w:b w:val="0"/>
        </w:rPr>
      </w:pPr>
      <w:r w:rsidRPr="007D11BC">
        <w:rPr>
          <w:i/>
        </w:rPr>
        <w:t>West and</w:t>
      </w:r>
      <w:r w:rsidRPr="00F1626F">
        <w:rPr>
          <w:b w:val="0"/>
        </w:rPr>
        <w:tab/>
      </w:r>
      <w:r w:rsidRPr="00F1626F">
        <w:rPr>
          <w:b w:val="0"/>
        </w:rPr>
        <w:tab/>
        <w:t>8-9 September 2009</w:t>
      </w:r>
      <w:r w:rsidRPr="00F1626F">
        <w:rPr>
          <w:b w:val="0"/>
        </w:rPr>
        <w:tab/>
        <w:t>Ghana</w:t>
      </w:r>
      <w:r w:rsidRPr="00F1626F">
        <w:rPr>
          <w:b w:val="0"/>
        </w:rPr>
        <w:tab/>
      </w:r>
      <w:r w:rsidRPr="00F1626F">
        <w:rPr>
          <w:b w:val="0"/>
        </w:rPr>
        <w:tab/>
      </w:r>
      <w:r w:rsidRPr="00F1626F">
        <w:rPr>
          <w:b w:val="0"/>
        </w:rPr>
        <w:tab/>
      </w:r>
      <w:r w:rsidRPr="00F1626F">
        <w:rPr>
          <w:b w:val="0"/>
        </w:rPr>
        <w:tab/>
      </w:r>
      <w:r w:rsidR="00645AB5">
        <w:rPr>
          <w:b w:val="0"/>
        </w:rPr>
        <w:tab/>
      </w:r>
      <w:r w:rsidR="008555CB" w:rsidRPr="007D11BC">
        <w:t>19</w:t>
      </w:r>
      <w:r w:rsidR="00377C25">
        <w:t>**</w:t>
      </w:r>
    </w:p>
    <w:p w:rsidR="00F1626F" w:rsidRPr="007D11BC" w:rsidRDefault="00F1626F" w:rsidP="00B062D7">
      <w:pPr>
        <w:jc w:val="both"/>
        <w:rPr>
          <w:i/>
        </w:rPr>
      </w:pPr>
      <w:r w:rsidRPr="007D11BC">
        <w:rPr>
          <w:i/>
        </w:rPr>
        <w:t>Central Africa</w:t>
      </w:r>
    </w:p>
    <w:p w:rsidR="00F1626F" w:rsidRPr="007D11BC" w:rsidRDefault="00F1626F" w:rsidP="00B062D7">
      <w:pPr>
        <w:jc w:val="both"/>
      </w:pPr>
      <w:r w:rsidRPr="007D11BC">
        <w:rPr>
          <w:i/>
        </w:rPr>
        <w:t>Latin America and</w:t>
      </w:r>
      <w:r w:rsidRPr="00F1626F">
        <w:rPr>
          <w:b w:val="0"/>
        </w:rPr>
        <w:tab/>
        <w:t>16-18 September 2009</w:t>
      </w:r>
      <w:r w:rsidRPr="00F1626F">
        <w:rPr>
          <w:b w:val="0"/>
        </w:rPr>
        <w:tab/>
        <w:t>Dominican Republic</w:t>
      </w:r>
      <w:r w:rsidRPr="00F1626F">
        <w:rPr>
          <w:b w:val="0"/>
        </w:rPr>
        <w:tab/>
      </w:r>
      <w:r w:rsidRPr="00F1626F">
        <w:rPr>
          <w:b w:val="0"/>
        </w:rPr>
        <w:tab/>
      </w:r>
      <w:r w:rsidR="001A1D3F">
        <w:rPr>
          <w:b w:val="0"/>
        </w:rPr>
        <w:tab/>
      </w:r>
      <w:r w:rsidR="00333DFD" w:rsidRPr="007D11BC">
        <w:t>12</w:t>
      </w:r>
    </w:p>
    <w:p w:rsidR="00F1626F" w:rsidRDefault="00F1626F" w:rsidP="00B062D7">
      <w:pPr>
        <w:jc w:val="both"/>
        <w:rPr>
          <w:i/>
        </w:rPr>
      </w:pPr>
      <w:r w:rsidRPr="007D11BC">
        <w:rPr>
          <w:i/>
        </w:rPr>
        <w:t>the Caribbean</w:t>
      </w:r>
    </w:p>
    <w:p w:rsidR="007D11BC" w:rsidRPr="007D11BC" w:rsidRDefault="007D11BC" w:rsidP="00B062D7">
      <w:pPr>
        <w:jc w:val="both"/>
        <w:rPr>
          <w:i/>
        </w:rPr>
      </w:pPr>
      <w:r>
        <w:rPr>
          <w:i/>
        </w:rPr>
        <w:t>Total Number of participating PC Governments:</w:t>
      </w:r>
      <w:r>
        <w:rPr>
          <w:i/>
        </w:rPr>
        <w:tab/>
      </w:r>
      <w:r>
        <w:rPr>
          <w:i/>
        </w:rPr>
        <w:tab/>
      </w:r>
      <w:r>
        <w:rPr>
          <w:i/>
        </w:rPr>
        <w:tab/>
      </w:r>
      <w:r>
        <w:rPr>
          <w:i/>
        </w:rPr>
        <w:tab/>
      </w:r>
      <w:r>
        <w:rPr>
          <w:i/>
        </w:rPr>
        <w:tab/>
        <w:t>7</w:t>
      </w:r>
      <w:r w:rsidR="00377C25">
        <w:rPr>
          <w:i/>
        </w:rPr>
        <w:t>4 + 3**</w:t>
      </w:r>
    </w:p>
    <w:p w:rsidR="001A1D3F" w:rsidRDefault="001A1D3F" w:rsidP="002734B0">
      <w:pPr>
        <w:pBdr>
          <w:bottom w:val="single" w:sz="4" w:space="1" w:color="auto"/>
        </w:pBdr>
        <w:jc w:val="both"/>
        <w:rPr>
          <w:b w:val="0"/>
          <w:i/>
        </w:rPr>
      </w:pPr>
      <w:r>
        <w:rPr>
          <w:b w:val="0"/>
          <w:i/>
        </w:rPr>
        <w:t>* Number includes host country.</w:t>
      </w:r>
    </w:p>
    <w:p w:rsidR="00377C25" w:rsidRPr="001A1D3F" w:rsidRDefault="00377C25" w:rsidP="002734B0">
      <w:pPr>
        <w:pBdr>
          <w:bottom w:val="single" w:sz="4" w:space="1" w:color="auto"/>
        </w:pBdr>
        <w:jc w:val="both"/>
        <w:rPr>
          <w:b w:val="0"/>
          <w:i/>
        </w:rPr>
      </w:pPr>
      <w:r>
        <w:rPr>
          <w:b w:val="0"/>
          <w:i/>
        </w:rPr>
        <w:t>** Three governments, i.e. DRC, Malawi and Tanzania attended both the Kigali and Accra meetings.</w:t>
      </w:r>
    </w:p>
    <w:p w:rsidR="002734B0" w:rsidRDefault="002734B0" w:rsidP="002734B0">
      <w:pPr>
        <w:pStyle w:val="ListParagraph"/>
        <w:ind w:left="360"/>
        <w:jc w:val="both"/>
      </w:pPr>
    </w:p>
    <w:p w:rsidR="00D060C3" w:rsidRDefault="00D060C3" w:rsidP="002734B0">
      <w:pPr>
        <w:pStyle w:val="ListParagraph"/>
        <w:ind w:left="360"/>
        <w:jc w:val="both"/>
      </w:pPr>
    </w:p>
    <w:p w:rsidR="00867DAB" w:rsidRDefault="002734B0" w:rsidP="00867DAB">
      <w:pPr>
        <w:pStyle w:val="ListParagraph"/>
        <w:numPr>
          <w:ilvl w:val="0"/>
          <w:numId w:val="11"/>
        </w:numPr>
        <w:jc w:val="both"/>
      </w:pPr>
      <w:r>
        <w:t>O</w:t>
      </w:r>
      <w:r w:rsidR="00867DAB">
        <w:t>utcomes of the IATI regional/sub-regional PC consultations:</w:t>
      </w:r>
    </w:p>
    <w:p w:rsidR="008F143B" w:rsidRDefault="008F143B" w:rsidP="008F143B">
      <w:pPr>
        <w:pStyle w:val="ListParagraph"/>
        <w:ind w:left="360"/>
        <w:jc w:val="both"/>
      </w:pPr>
    </w:p>
    <w:p w:rsidR="006F1F6B" w:rsidRDefault="006F1F6B" w:rsidP="00F05E9A">
      <w:pPr>
        <w:pStyle w:val="ListParagraph"/>
        <w:numPr>
          <w:ilvl w:val="0"/>
          <w:numId w:val="13"/>
        </w:numPr>
        <w:jc w:val="both"/>
        <w:rPr>
          <w:b w:val="0"/>
        </w:rPr>
      </w:pPr>
      <w:r w:rsidRPr="006F1F6B">
        <w:t>Sharing of knowledge:</w:t>
      </w:r>
      <w:r>
        <w:rPr>
          <w:b w:val="0"/>
        </w:rPr>
        <w:t xml:space="preserve"> </w:t>
      </w:r>
      <w:r w:rsidRPr="006F1F6B">
        <w:rPr>
          <w:b w:val="0"/>
        </w:rPr>
        <w:t>As illustrated above, t</w:t>
      </w:r>
      <w:r w:rsidR="00867DAB" w:rsidRPr="006F1F6B">
        <w:rPr>
          <w:b w:val="0"/>
        </w:rPr>
        <w:t xml:space="preserve">he consultations have allowed </w:t>
      </w:r>
      <w:r w:rsidR="0059230F" w:rsidRPr="006F1F6B">
        <w:rPr>
          <w:b w:val="0"/>
        </w:rPr>
        <w:t>government representatives from 77 countries to be briefed, in some cases, for the first time on the objectives</w:t>
      </w:r>
      <w:r w:rsidR="00C3739B" w:rsidRPr="006F1F6B">
        <w:rPr>
          <w:b w:val="0"/>
        </w:rPr>
        <w:t xml:space="preserve"> of the initiative</w:t>
      </w:r>
      <w:r w:rsidR="0059230F" w:rsidRPr="006F1F6B">
        <w:rPr>
          <w:b w:val="0"/>
        </w:rPr>
        <w:t xml:space="preserve">, </w:t>
      </w:r>
      <w:r w:rsidR="00C3739B" w:rsidRPr="006F1F6B">
        <w:rPr>
          <w:b w:val="0"/>
        </w:rPr>
        <w:t xml:space="preserve">the </w:t>
      </w:r>
      <w:r w:rsidR="0059230F" w:rsidRPr="006F1F6B">
        <w:rPr>
          <w:b w:val="0"/>
        </w:rPr>
        <w:t xml:space="preserve">background research </w:t>
      </w:r>
      <w:r w:rsidR="005B7700" w:rsidRPr="006F1F6B">
        <w:rPr>
          <w:b w:val="0"/>
        </w:rPr>
        <w:t xml:space="preserve">undertaken, </w:t>
      </w:r>
      <w:r w:rsidR="0059230F" w:rsidRPr="006F1F6B">
        <w:rPr>
          <w:b w:val="0"/>
        </w:rPr>
        <w:t xml:space="preserve">and </w:t>
      </w:r>
      <w:r w:rsidR="005B7700" w:rsidRPr="006F1F6B">
        <w:rPr>
          <w:b w:val="0"/>
        </w:rPr>
        <w:t xml:space="preserve">the political and technical </w:t>
      </w:r>
      <w:r w:rsidR="0059230F" w:rsidRPr="006F1F6B">
        <w:rPr>
          <w:b w:val="0"/>
        </w:rPr>
        <w:t xml:space="preserve">process for the development of the IATI standard and </w:t>
      </w:r>
      <w:r w:rsidRPr="006F1F6B">
        <w:rPr>
          <w:b w:val="0"/>
        </w:rPr>
        <w:t xml:space="preserve">the </w:t>
      </w:r>
      <w:r w:rsidR="0059230F" w:rsidRPr="006F1F6B">
        <w:rPr>
          <w:b w:val="0"/>
        </w:rPr>
        <w:t>Code of Conduct.</w:t>
      </w:r>
      <w:r w:rsidR="00665D51" w:rsidRPr="006F1F6B">
        <w:rPr>
          <w:b w:val="0"/>
        </w:rPr>
        <w:t xml:space="preserve"> </w:t>
      </w:r>
      <w:r w:rsidRPr="006F1F6B">
        <w:rPr>
          <w:b w:val="0"/>
        </w:rPr>
        <w:t xml:space="preserve">These also served as </w:t>
      </w:r>
      <w:r w:rsidR="002654B4">
        <w:rPr>
          <w:b w:val="0"/>
        </w:rPr>
        <w:t>forums</w:t>
      </w:r>
      <w:r w:rsidRPr="006F1F6B">
        <w:rPr>
          <w:b w:val="0"/>
        </w:rPr>
        <w:t xml:space="preserve"> for peer </w:t>
      </w:r>
      <w:r w:rsidR="002654B4" w:rsidRPr="006F1F6B">
        <w:rPr>
          <w:b w:val="0"/>
        </w:rPr>
        <w:t>exchange</w:t>
      </w:r>
      <w:r w:rsidR="002654B4">
        <w:rPr>
          <w:b w:val="0"/>
        </w:rPr>
        <w:t>/</w:t>
      </w:r>
      <w:r w:rsidRPr="006F1F6B">
        <w:rPr>
          <w:b w:val="0"/>
        </w:rPr>
        <w:t xml:space="preserve">learning on how developing governments manage aid information flows at the country level, national </w:t>
      </w:r>
      <w:r w:rsidR="00F05E9A">
        <w:rPr>
          <w:b w:val="0"/>
        </w:rPr>
        <w:t>AIMs</w:t>
      </w:r>
      <w:r w:rsidRPr="006F1F6B">
        <w:rPr>
          <w:b w:val="0"/>
        </w:rPr>
        <w:t>, and the challenges they face with regard to transparency, mutual accountability and other principles and commitments of the Paris Declaration and the AAA.</w:t>
      </w:r>
    </w:p>
    <w:p w:rsidR="006F1F6B" w:rsidRDefault="006F1F6B" w:rsidP="006F1F6B">
      <w:pPr>
        <w:pStyle w:val="ListParagraph"/>
        <w:jc w:val="both"/>
        <w:rPr>
          <w:b w:val="0"/>
        </w:rPr>
      </w:pPr>
    </w:p>
    <w:p w:rsidR="002654B4" w:rsidRDefault="006F1F6B" w:rsidP="002654B4">
      <w:pPr>
        <w:pStyle w:val="ListParagraph"/>
        <w:numPr>
          <w:ilvl w:val="0"/>
          <w:numId w:val="13"/>
        </w:numPr>
        <w:jc w:val="both"/>
        <w:rPr>
          <w:b w:val="0"/>
        </w:rPr>
      </w:pPr>
      <w:r w:rsidRPr="006F1F6B">
        <w:t>Broader support for IATI among PC:</w:t>
      </w:r>
      <w:r w:rsidRPr="002654B4">
        <w:rPr>
          <w:b w:val="0"/>
        </w:rPr>
        <w:t xml:space="preserve"> </w:t>
      </w:r>
      <w:r w:rsidR="0059230F" w:rsidRPr="002654B4">
        <w:rPr>
          <w:b w:val="0"/>
        </w:rPr>
        <w:t xml:space="preserve">The consultations have also served as a </w:t>
      </w:r>
      <w:r w:rsidR="00F05E9A" w:rsidRPr="002654B4">
        <w:rPr>
          <w:b w:val="0"/>
        </w:rPr>
        <w:t>driver</w:t>
      </w:r>
      <w:r w:rsidR="0059230F" w:rsidRPr="002654B4">
        <w:rPr>
          <w:b w:val="0"/>
        </w:rPr>
        <w:t xml:space="preserve"> for two of the host governments, i.e. Montenegro and the Dominican Republic</w:t>
      </w:r>
      <w:r w:rsidR="00C3739B" w:rsidRPr="002654B4">
        <w:rPr>
          <w:b w:val="0"/>
        </w:rPr>
        <w:t>,</w:t>
      </w:r>
      <w:r w:rsidR="0059230F" w:rsidRPr="002654B4">
        <w:rPr>
          <w:b w:val="0"/>
        </w:rPr>
        <w:t xml:space="preserve"> to endorse the initiative</w:t>
      </w:r>
      <w:r w:rsidR="00665D51" w:rsidRPr="002654B4">
        <w:rPr>
          <w:b w:val="0"/>
        </w:rPr>
        <w:t>. A second group of countries have expressed interest to potentially endorse the 2008 IATI Accra Statement</w:t>
      </w:r>
      <w:r w:rsidR="00F05E9A" w:rsidRPr="002654B4">
        <w:rPr>
          <w:b w:val="0"/>
        </w:rPr>
        <w:t xml:space="preserve"> during the consultations, but this would require engagement with the political leadership</w:t>
      </w:r>
      <w:r w:rsidR="00665D51" w:rsidRPr="002654B4">
        <w:rPr>
          <w:b w:val="0"/>
        </w:rPr>
        <w:t>.</w:t>
      </w:r>
      <w:r w:rsidR="00C3739B" w:rsidRPr="002654B4">
        <w:rPr>
          <w:b w:val="0"/>
        </w:rPr>
        <w:t xml:space="preserve"> </w:t>
      </w:r>
    </w:p>
    <w:p w:rsidR="002654B4" w:rsidRPr="002654B4" w:rsidRDefault="002654B4" w:rsidP="002654B4">
      <w:pPr>
        <w:pStyle w:val="ListParagraph"/>
        <w:rPr>
          <w:b w:val="0"/>
        </w:rPr>
      </w:pPr>
    </w:p>
    <w:p w:rsidR="0059230F" w:rsidRDefault="006F1F6B" w:rsidP="00F05E9A">
      <w:pPr>
        <w:pStyle w:val="ListParagraph"/>
        <w:numPr>
          <w:ilvl w:val="0"/>
          <w:numId w:val="13"/>
        </w:numPr>
        <w:jc w:val="both"/>
        <w:rPr>
          <w:b w:val="0"/>
        </w:rPr>
      </w:pPr>
      <w:r w:rsidRPr="006F1F6B">
        <w:t xml:space="preserve">Improved PC membership </w:t>
      </w:r>
      <w:r>
        <w:t>in</w:t>
      </w:r>
      <w:r w:rsidRPr="006F1F6B">
        <w:t xml:space="preserve"> IATI bodies: </w:t>
      </w:r>
      <w:r w:rsidR="003C521D" w:rsidRPr="003C521D">
        <w:rPr>
          <w:b w:val="0"/>
        </w:rPr>
        <w:t>F</w:t>
      </w:r>
      <w:r w:rsidR="003C521D">
        <w:rPr>
          <w:b w:val="0"/>
        </w:rPr>
        <w:t xml:space="preserve">ollowing </w:t>
      </w:r>
      <w:r w:rsidR="003C521D" w:rsidRPr="003C521D">
        <w:rPr>
          <w:b w:val="0"/>
        </w:rPr>
        <w:t>the demand</w:t>
      </w:r>
      <w:r w:rsidR="003C521D">
        <w:rPr>
          <w:b w:val="0"/>
        </w:rPr>
        <w:t>s made by PC for better representation, t</w:t>
      </w:r>
      <w:r w:rsidR="008A274B" w:rsidRPr="006F1F6B">
        <w:rPr>
          <w:b w:val="0"/>
        </w:rPr>
        <w:t>he IATI Secretariat has reached out to Colombia and</w:t>
      </w:r>
      <w:r w:rsidR="003C521D">
        <w:rPr>
          <w:b w:val="0"/>
        </w:rPr>
        <w:t xml:space="preserve"> the </w:t>
      </w:r>
      <w:r w:rsidR="008A274B" w:rsidRPr="006F1F6B">
        <w:rPr>
          <w:b w:val="0"/>
        </w:rPr>
        <w:t>Dominican Republic (the only two countries from LAC, which have endorsed IATI and are not represented at the Steering Committee</w:t>
      </w:r>
      <w:r w:rsidR="00B70BAA">
        <w:rPr>
          <w:b w:val="0"/>
        </w:rPr>
        <w:t xml:space="preserve"> (SC)</w:t>
      </w:r>
      <w:r w:rsidR="008A274B" w:rsidRPr="006F1F6B">
        <w:rPr>
          <w:b w:val="0"/>
        </w:rPr>
        <w:t>), as well as the two pilot countries, i.e. Burkina Faso and Malawi, to join the 30</w:t>
      </w:r>
      <w:r w:rsidR="008A274B" w:rsidRPr="006F1F6B">
        <w:rPr>
          <w:b w:val="0"/>
          <w:vertAlign w:val="superscript"/>
        </w:rPr>
        <w:t>th</w:t>
      </w:r>
      <w:r w:rsidR="008A274B" w:rsidRPr="006F1F6B">
        <w:rPr>
          <w:b w:val="0"/>
        </w:rPr>
        <w:t xml:space="preserve"> of September 2009 meeting of the </w:t>
      </w:r>
      <w:r w:rsidR="00B70BAA">
        <w:rPr>
          <w:b w:val="0"/>
        </w:rPr>
        <w:t>SC</w:t>
      </w:r>
      <w:r w:rsidR="008A274B" w:rsidRPr="006F1F6B">
        <w:rPr>
          <w:b w:val="0"/>
        </w:rPr>
        <w:t>. The consultations have also served to identify government experts who are interested to contribute to the development of the standards and the Code of Conduct. As a result, the 2-3 September 2009 meeting of the TAG for the first time included representatives from PC governments, namely Colombia, Jordan, Kyrgyzstan, Nepal and SUPRO, a CSO from Bangladesh.</w:t>
      </w:r>
    </w:p>
    <w:p w:rsidR="00176189" w:rsidRPr="00176189" w:rsidRDefault="00176189" w:rsidP="00176189">
      <w:pPr>
        <w:pStyle w:val="ListParagraph"/>
        <w:rPr>
          <w:b w:val="0"/>
        </w:rPr>
      </w:pPr>
    </w:p>
    <w:p w:rsidR="00593178" w:rsidRDefault="002734B0" w:rsidP="00867DAB">
      <w:pPr>
        <w:pStyle w:val="ListParagraph"/>
        <w:numPr>
          <w:ilvl w:val="0"/>
          <w:numId w:val="11"/>
        </w:numPr>
        <w:jc w:val="both"/>
      </w:pPr>
      <w:r>
        <w:t>F</w:t>
      </w:r>
      <w:r w:rsidR="00593178" w:rsidRPr="00867DAB">
        <w:t xml:space="preserve">indings and recommendations from the </w:t>
      </w:r>
      <w:r w:rsidR="00867DAB">
        <w:t xml:space="preserve">IATI regional/sub-regional </w:t>
      </w:r>
      <w:r w:rsidR="00593178" w:rsidRPr="00867DAB">
        <w:t>PC consultations:</w:t>
      </w:r>
    </w:p>
    <w:p w:rsidR="0004333A" w:rsidRPr="00867DAB" w:rsidRDefault="0004333A" w:rsidP="0004333A">
      <w:pPr>
        <w:pStyle w:val="ListParagraph"/>
        <w:ind w:left="360"/>
        <w:jc w:val="both"/>
      </w:pPr>
    </w:p>
    <w:p w:rsidR="0004333A" w:rsidRDefault="0004333A" w:rsidP="00F05E9A">
      <w:pPr>
        <w:pStyle w:val="ListParagraph"/>
        <w:numPr>
          <w:ilvl w:val="0"/>
          <w:numId w:val="14"/>
        </w:numPr>
        <w:jc w:val="both"/>
        <w:rPr>
          <w:b w:val="0"/>
        </w:rPr>
      </w:pPr>
      <w:r w:rsidRPr="0004333A">
        <w:t>Space for PC in IATI:</w:t>
      </w:r>
      <w:r w:rsidRPr="001D55DA">
        <w:rPr>
          <w:b w:val="0"/>
        </w:rPr>
        <w:t xml:space="preserve"> </w:t>
      </w:r>
      <w:r w:rsidR="003C521D" w:rsidRPr="001D55DA">
        <w:rPr>
          <w:b w:val="0"/>
        </w:rPr>
        <w:t xml:space="preserve">One of the consistent demands made by PC throughout the consultations has been for better </w:t>
      </w:r>
      <w:r w:rsidR="00B70BAA">
        <w:rPr>
          <w:b w:val="0"/>
        </w:rPr>
        <w:t xml:space="preserve">PC </w:t>
      </w:r>
      <w:r w:rsidR="003C521D" w:rsidRPr="001D55DA">
        <w:rPr>
          <w:b w:val="0"/>
        </w:rPr>
        <w:t>representation in the SC and the TAG, as well as for better regional balance</w:t>
      </w:r>
      <w:r w:rsidRPr="001D55DA">
        <w:rPr>
          <w:b w:val="0"/>
        </w:rPr>
        <w:t xml:space="preserve"> in the composition of these bodies</w:t>
      </w:r>
      <w:r w:rsidR="003C521D" w:rsidRPr="001D55DA">
        <w:rPr>
          <w:b w:val="0"/>
        </w:rPr>
        <w:t>.</w:t>
      </w:r>
      <w:r w:rsidRPr="001D55DA">
        <w:rPr>
          <w:b w:val="0"/>
        </w:rPr>
        <w:t xml:space="preserve"> The IATI Secretariat has </w:t>
      </w:r>
      <w:r w:rsidR="001D55DA" w:rsidRPr="001D55DA">
        <w:rPr>
          <w:b w:val="0"/>
        </w:rPr>
        <w:t xml:space="preserve">already </w:t>
      </w:r>
      <w:r w:rsidRPr="001D55DA">
        <w:rPr>
          <w:b w:val="0"/>
        </w:rPr>
        <w:t>taken steps in this regard</w:t>
      </w:r>
      <w:r w:rsidR="001D55DA" w:rsidRPr="001D55DA">
        <w:rPr>
          <w:b w:val="0"/>
        </w:rPr>
        <w:t xml:space="preserve"> (see </w:t>
      </w:r>
      <w:r w:rsidR="00B70BAA">
        <w:rPr>
          <w:b w:val="0"/>
        </w:rPr>
        <w:t xml:space="preserve">point 3 </w:t>
      </w:r>
      <w:r w:rsidR="001D55DA" w:rsidRPr="001D55DA">
        <w:rPr>
          <w:b w:val="0"/>
        </w:rPr>
        <w:t>above)</w:t>
      </w:r>
      <w:r w:rsidR="00B70BAA">
        <w:rPr>
          <w:b w:val="0"/>
        </w:rPr>
        <w:t xml:space="preserve">. </w:t>
      </w:r>
      <w:r w:rsidR="007B6DC7">
        <w:rPr>
          <w:b w:val="0"/>
        </w:rPr>
        <w:t xml:space="preserve">Moreover, the Asia-Pacific region has put forward a proposal for the identification of a </w:t>
      </w:r>
      <w:r w:rsidR="002654B4">
        <w:rPr>
          <w:b w:val="0"/>
        </w:rPr>
        <w:t xml:space="preserve">IATI </w:t>
      </w:r>
      <w:r w:rsidR="007B6DC7">
        <w:rPr>
          <w:b w:val="0"/>
        </w:rPr>
        <w:t>pilot country. T</w:t>
      </w:r>
      <w:r w:rsidR="00B70BAA">
        <w:rPr>
          <w:b w:val="0"/>
        </w:rPr>
        <w:t xml:space="preserve">he issue </w:t>
      </w:r>
      <w:r w:rsidR="007B6DC7">
        <w:rPr>
          <w:b w:val="0"/>
        </w:rPr>
        <w:t xml:space="preserve">of space for PC </w:t>
      </w:r>
      <w:r w:rsidR="00B70BAA">
        <w:rPr>
          <w:b w:val="0"/>
        </w:rPr>
        <w:t xml:space="preserve">should be addressed in a </w:t>
      </w:r>
      <w:r w:rsidR="007B6DC7">
        <w:rPr>
          <w:b w:val="0"/>
        </w:rPr>
        <w:t xml:space="preserve">way that is </w:t>
      </w:r>
      <w:r w:rsidR="006C71F7">
        <w:rPr>
          <w:b w:val="0"/>
        </w:rPr>
        <w:t xml:space="preserve">objective, </w:t>
      </w:r>
      <w:r w:rsidR="007B6DC7">
        <w:rPr>
          <w:b w:val="0"/>
        </w:rPr>
        <w:t xml:space="preserve">sound and </w:t>
      </w:r>
      <w:r w:rsidR="00B70BAA">
        <w:rPr>
          <w:b w:val="0"/>
        </w:rPr>
        <w:t>sustainable in light of an</w:t>
      </w:r>
      <w:r w:rsidRPr="001D55DA">
        <w:rPr>
          <w:b w:val="0"/>
        </w:rPr>
        <w:t xml:space="preserve"> increasing number of PC like</w:t>
      </w:r>
      <w:r w:rsidR="00B70BAA">
        <w:rPr>
          <w:b w:val="0"/>
        </w:rPr>
        <w:t>ly</w:t>
      </w:r>
      <w:r w:rsidRPr="001D55DA">
        <w:rPr>
          <w:b w:val="0"/>
        </w:rPr>
        <w:t xml:space="preserve"> </w:t>
      </w:r>
      <w:r w:rsidR="00B428A9">
        <w:rPr>
          <w:b w:val="0"/>
        </w:rPr>
        <w:t xml:space="preserve">to </w:t>
      </w:r>
      <w:r w:rsidRPr="001D55DA">
        <w:rPr>
          <w:b w:val="0"/>
        </w:rPr>
        <w:t>join IATI in the near future</w:t>
      </w:r>
      <w:r w:rsidR="00B70BAA">
        <w:rPr>
          <w:b w:val="0"/>
        </w:rPr>
        <w:t>.</w:t>
      </w:r>
      <w:r w:rsidRPr="001D55DA">
        <w:rPr>
          <w:b w:val="0"/>
        </w:rPr>
        <w:t xml:space="preserve"> </w:t>
      </w:r>
      <w:r w:rsidR="00B70BAA">
        <w:rPr>
          <w:b w:val="0"/>
        </w:rPr>
        <w:t xml:space="preserve">The IATI Secretariat with UNDP’s lead </w:t>
      </w:r>
      <w:r w:rsidR="00B428A9">
        <w:rPr>
          <w:b w:val="0"/>
        </w:rPr>
        <w:t xml:space="preserve">and the Steering Committee </w:t>
      </w:r>
      <w:r w:rsidR="00B70BAA">
        <w:rPr>
          <w:b w:val="0"/>
        </w:rPr>
        <w:t>need to define a strategy for PC outreach and engagemen</w:t>
      </w:r>
      <w:r w:rsidR="00B428A9">
        <w:rPr>
          <w:b w:val="0"/>
        </w:rPr>
        <w:t>t, which would address both demand for representation and the process of involvement.</w:t>
      </w:r>
      <w:r w:rsidR="001C02EC">
        <w:rPr>
          <w:b w:val="0"/>
        </w:rPr>
        <w:t xml:space="preserve"> PC in Accra have also asked if CSO from the South could join the Steering Committee.</w:t>
      </w:r>
    </w:p>
    <w:p w:rsidR="00AC6DD9" w:rsidRDefault="00AC6DD9" w:rsidP="00AC6DD9">
      <w:pPr>
        <w:pStyle w:val="ListParagraph"/>
        <w:jc w:val="both"/>
        <w:rPr>
          <w:b w:val="0"/>
        </w:rPr>
      </w:pPr>
    </w:p>
    <w:p w:rsidR="00B428A9" w:rsidRDefault="00AC6DD9" w:rsidP="00F05E9A">
      <w:pPr>
        <w:pStyle w:val="ListParagraph"/>
        <w:numPr>
          <w:ilvl w:val="0"/>
          <w:numId w:val="14"/>
        </w:numPr>
        <w:jc w:val="both"/>
        <w:rPr>
          <w:b w:val="0"/>
        </w:rPr>
      </w:pPr>
      <w:r>
        <w:lastRenderedPageBreak/>
        <w:t>Process for the development of the IATI standard and</w:t>
      </w:r>
      <w:r w:rsidR="00B70BAA">
        <w:t xml:space="preserve"> the</w:t>
      </w:r>
      <w:r>
        <w:t xml:space="preserve"> Code of Conduct: </w:t>
      </w:r>
      <w:r w:rsidRPr="00AC6DD9">
        <w:rPr>
          <w:b w:val="0"/>
        </w:rPr>
        <w:t>PC</w:t>
      </w:r>
      <w:r w:rsidR="004405A2">
        <w:rPr>
          <w:b w:val="0"/>
        </w:rPr>
        <w:t xml:space="preserve"> feel that there is a need for more consultations at the global, </w:t>
      </w:r>
      <w:r w:rsidR="00B70BAA">
        <w:rPr>
          <w:b w:val="0"/>
        </w:rPr>
        <w:t xml:space="preserve">regional, </w:t>
      </w:r>
      <w:r w:rsidR="004405A2">
        <w:rPr>
          <w:b w:val="0"/>
        </w:rPr>
        <w:t xml:space="preserve">but also at the country level. </w:t>
      </w:r>
      <w:r w:rsidR="00B971C8">
        <w:rPr>
          <w:b w:val="0"/>
        </w:rPr>
        <w:t xml:space="preserve">In Europe and CIS there was an explicit support for the UN to continue facilitating this process. </w:t>
      </w:r>
      <w:r w:rsidR="003F6D1D">
        <w:rPr>
          <w:b w:val="0"/>
        </w:rPr>
        <w:t>The IATI partner country outreach should be brought to scale. Moreover, g</w:t>
      </w:r>
      <w:r w:rsidR="00E36401">
        <w:rPr>
          <w:b w:val="0"/>
        </w:rPr>
        <w:t>overnments require</w:t>
      </w:r>
      <w:r w:rsidR="004405A2">
        <w:rPr>
          <w:b w:val="0"/>
        </w:rPr>
        <w:t xml:space="preserve"> more time to consult internally and also with local development partners on the technical proposals developed by the TAG. </w:t>
      </w:r>
      <w:r w:rsidR="00E36401">
        <w:rPr>
          <w:b w:val="0"/>
        </w:rPr>
        <w:t>Having the d</w:t>
      </w:r>
      <w:r w:rsidR="004405A2">
        <w:rPr>
          <w:b w:val="0"/>
        </w:rPr>
        <w:t xml:space="preserve">ocuments translated in </w:t>
      </w:r>
      <w:r w:rsidR="00AE43EC">
        <w:rPr>
          <w:b w:val="0"/>
        </w:rPr>
        <w:t xml:space="preserve">Arabic, </w:t>
      </w:r>
      <w:r w:rsidR="004405A2">
        <w:rPr>
          <w:b w:val="0"/>
        </w:rPr>
        <w:t xml:space="preserve">French </w:t>
      </w:r>
      <w:r w:rsidR="00AE43EC">
        <w:rPr>
          <w:b w:val="0"/>
        </w:rPr>
        <w:t xml:space="preserve">and </w:t>
      </w:r>
      <w:r w:rsidR="004405A2">
        <w:rPr>
          <w:b w:val="0"/>
        </w:rPr>
        <w:t xml:space="preserve">Spanish would facilitate </w:t>
      </w:r>
      <w:r w:rsidR="00AE43EC">
        <w:rPr>
          <w:b w:val="0"/>
        </w:rPr>
        <w:t xml:space="preserve">information sharing/outreach and provision of </w:t>
      </w:r>
      <w:r w:rsidR="004405A2">
        <w:rPr>
          <w:b w:val="0"/>
        </w:rPr>
        <w:t xml:space="preserve">inputs from </w:t>
      </w:r>
      <w:r w:rsidR="00AE43EC">
        <w:rPr>
          <w:b w:val="0"/>
        </w:rPr>
        <w:t>Arab-, French- and Spanish-speakers.</w:t>
      </w:r>
      <w:r w:rsidR="00B428A9">
        <w:rPr>
          <w:b w:val="0"/>
        </w:rPr>
        <w:t xml:space="preserve"> </w:t>
      </w:r>
    </w:p>
    <w:p w:rsidR="00B428A9" w:rsidRPr="00B428A9" w:rsidRDefault="00B428A9" w:rsidP="00B428A9">
      <w:pPr>
        <w:pStyle w:val="ListParagraph"/>
        <w:rPr>
          <w:b w:val="0"/>
        </w:rPr>
      </w:pPr>
    </w:p>
    <w:p w:rsidR="00AC6DD9" w:rsidRPr="00AC6DD9" w:rsidRDefault="00B428A9" w:rsidP="00F05E9A">
      <w:pPr>
        <w:pStyle w:val="ListParagraph"/>
        <w:numPr>
          <w:ilvl w:val="0"/>
          <w:numId w:val="14"/>
        </w:numPr>
        <w:jc w:val="both"/>
        <w:rPr>
          <w:b w:val="0"/>
        </w:rPr>
      </w:pPr>
      <w:r w:rsidRPr="00B428A9">
        <w:t xml:space="preserve">IATI </w:t>
      </w:r>
      <w:r>
        <w:t>&amp;</w:t>
      </w:r>
      <w:r w:rsidRPr="00B428A9">
        <w:t xml:space="preserve"> the broader aid effectiveness agenda</w:t>
      </w:r>
      <w:r>
        <w:t xml:space="preserve"> and existing coordination mechanisms</w:t>
      </w:r>
      <w:r w:rsidR="00316F0D">
        <w:t>/calendar beyond 2009</w:t>
      </w:r>
      <w:r w:rsidRPr="00B428A9">
        <w:t>:</w:t>
      </w:r>
      <w:r>
        <w:rPr>
          <w:b w:val="0"/>
        </w:rPr>
        <w:t xml:space="preserve"> </w:t>
      </w:r>
      <w:r w:rsidR="00316F0D">
        <w:rPr>
          <w:b w:val="0"/>
        </w:rPr>
        <w:t>PC have requested m</w:t>
      </w:r>
      <w:r>
        <w:rPr>
          <w:b w:val="0"/>
        </w:rPr>
        <w:t xml:space="preserve">ore clarity </w:t>
      </w:r>
      <w:r w:rsidR="00316F0D">
        <w:rPr>
          <w:b w:val="0"/>
        </w:rPr>
        <w:t>in this area, including how IATI fits into the agenda of the WP-EFF</w:t>
      </w:r>
      <w:r w:rsidR="00AB7E8A">
        <w:rPr>
          <w:b w:val="0"/>
        </w:rPr>
        <w:t xml:space="preserve"> and </w:t>
      </w:r>
      <w:r w:rsidR="00316F0D">
        <w:rPr>
          <w:b w:val="0"/>
        </w:rPr>
        <w:t>its clusters</w:t>
      </w:r>
      <w:r w:rsidR="00AB7E8A">
        <w:rPr>
          <w:b w:val="0"/>
        </w:rPr>
        <w:t>, in particular cluster C</w:t>
      </w:r>
      <w:r w:rsidR="00316F0D">
        <w:rPr>
          <w:b w:val="0"/>
        </w:rPr>
        <w:t xml:space="preserve">.  </w:t>
      </w:r>
      <w:r w:rsidR="00AB7E8A">
        <w:rPr>
          <w:b w:val="0"/>
        </w:rPr>
        <w:t xml:space="preserve">Also a </w:t>
      </w:r>
      <w:r>
        <w:rPr>
          <w:b w:val="0"/>
        </w:rPr>
        <w:t xml:space="preserve">calendar </w:t>
      </w:r>
      <w:r w:rsidR="00316F0D">
        <w:rPr>
          <w:b w:val="0"/>
        </w:rPr>
        <w:t xml:space="preserve">for IATI </w:t>
      </w:r>
      <w:r>
        <w:rPr>
          <w:b w:val="0"/>
        </w:rPr>
        <w:t>beyond 2009</w:t>
      </w:r>
      <w:r w:rsidR="00AB7E8A">
        <w:rPr>
          <w:b w:val="0"/>
        </w:rPr>
        <w:t xml:space="preserve"> would assist PC in their plans of cooperation with the initiative.</w:t>
      </w:r>
    </w:p>
    <w:p w:rsidR="001D55DA" w:rsidRPr="001D55DA" w:rsidRDefault="001D55DA" w:rsidP="001D55DA">
      <w:pPr>
        <w:pStyle w:val="ListParagraph"/>
        <w:jc w:val="both"/>
        <w:rPr>
          <w:b w:val="0"/>
        </w:rPr>
      </w:pPr>
    </w:p>
    <w:p w:rsidR="0004333A" w:rsidRDefault="0004333A" w:rsidP="00F05E9A">
      <w:pPr>
        <w:pStyle w:val="ListParagraph"/>
        <w:numPr>
          <w:ilvl w:val="0"/>
          <w:numId w:val="14"/>
        </w:numPr>
        <w:jc w:val="both"/>
        <w:rPr>
          <w:b w:val="0"/>
        </w:rPr>
      </w:pPr>
      <w:r w:rsidRPr="0004333A">
        <w:t>Donors-signatories to IATI:</w:t>
      </w:r>
      <w:r>
        <w:rPr>
          <w:b w:val="0"/>
        </w:rPr>
        <w:t xml:space="preserve"> </w:t>
      </w:r>
      <w:r w:rsidR="008F143B">
        <w:rPr>
          <w:b w:val="0"/>
        </w:rPr>
        <w:t>I</w:t>
      </w:r>
      <w:r>
        <w:rPr>
          <w:b w:val="0"/>
        </w:rPr>
        <w:t>n all of the regional consultations there was a consensus that more OECD/DAC and non-DAC donors should sign up to IATI. There is a concern</w:t>
      </w:r>
      <w:r w:rsidR="00B428A9">
        <w:rPr>
          <w:b w:val="0"/>
        </w:rPr>
        <w:t>, which should not be underestimated,</w:t>
      </w:r>
      <w:r>
        <w:rPr>
          <w:b w:val="0"/>
        </w:rPr>
        <w:t xml:space="preserve"> that </w:t>
      </w:r>
      <w:r w:rsidR="00CA6587">
        <w:rPr>
          <w:b w:val="0"/>
        </w:rPr>
        <w:t xml:space="preserve">a number of donors, some of them providers of large share of ODA, remain outside IATI. The same is </w:t>
      </w:r>
      <w:r w:rsidR="00AB7E8A">
        <w:rPr>
          <w:b w:val="0"/>
        </w:rPr>
        <w:t>valid</w:t>
      </w:r>
      <w:r w:rsidR="00CA6587">
        <w:rPr>
          <w:b w:val="0"/>
        </w:rPr>
        <w:t xml:space="preserve"> for non-DAC donors. </w:t>
      </w:r>
      <w:r w:rsidR="001D55DA">
        <w:rPr>
          <w:b w:val="0"/>
        </w:rPr>
        <w:t xml:space="preserve">The IATI Secretariat and the Steering Committee need to define a strategy </w:t>
      </w:r>
      <w:r w:rsidR="00B428A9">
        <w:rPr>
          <w:b w:val="0"/>
        </w:rPr>
        <w:t xml:space="preserve">for </w:t>
      </w:r>
      <w:r w:rsidR="001D55DA">
        <w:rPr>
          <w:b w:val="0"/>
        </w:rPr>
        <w:t>engaging with the donor community similar to the one for PC.</w:t>
      </w:r>
    </w:p>
    <w:p w:rsidR="0004333A" w:rsidRPr="0004333A" w:rsidRDefault="0004333A" w:rsidP="0004333A">
      <w:pPr>
        <w:pStyle w:val="ListParagraph"/>
        <w:jc w:val="both"/>
        <w:rPr>
          <w:b w:val="0"/>
        </w:rPr>
      </w:pPr>
    </w:p>
    <w:p w:rsidR="0068322B" w:rsidRPr="0068322B" w:rsidRDefault="00B204FB" w:rsidP="00F05E9A">
      <w:pPr>
        <w:pStyle w:val="ListParagraph"/>
        <w:numPr>
          <w:ilvl w:val="0"/>
          <w:numId w:val="14"/>
        </w:numPr>
        <w:jc w:val="both"/>
      </w:pPr>
      <w:r w:rsidRPr="00B204FB">
        <w:t xml:space="preserve">Global </w:t>
      </w:r>
      <w:r w:rsidR="0068322B">
        <w:t>&amp;</w:t>
      </w:r>
      <w:r w:rsidRPr="00B204FB">
        <w:t xml:space="preserve"> local commitment of donors:</w:t>
      </w:r>
      <w:r w:rsidRPr="0068322B">
        <w:rPr>
          <w:b w:val="0"/>
        </w:rPr>
        <w:t xml:space="preserve"> </w:t>
      </w:r>
      <w:r w:rsidR="00A601FD" w:rsidRPr="0068322B">
        <w:rPr>
          <w:b w:val="0"/>
        </w:rPr>
        <w:t xml:space="preserve">PC encourage </w:t>
      </w:r>
      <w:r w:rsidRPr="0068322B">
        <w:rPr>
          <w:b w:val="0"/>
        </w:rPr>
        <w:t>develo</w:t>
      </w:r>
      <w:r w:rsidR="00AB7E8A">
        <w:rPr>
          <w:b w:val="0"/>
        </w:rPr>
        <w:t xml:space="preserve">pment partners </w:t>
      </w:r>
      <w:r w:rsidRPr="0068322B">
        <w:rPr>
          <w:b w:val="0"/>
        </w:rPr>
        <w:t>signatories to IATI</w:t>
      </w:r>
      <w:r w:rsidR="00A601FD" w:rsidRPr="0068322B">
        <w:rPr>
          <w:b w:val="0"/>
        </w:rPr>
        <w:t xml:space="preserve"> to fully prepare their country representatives to cooperate in accordance with the IATI standards and </w:t>
      </w:r>
      <w:r w:rsidR="00AB7E8A">
        <w:rPr>
          <w:b w:val="0"/>
        </w:rPr>
        <w:t xml:space="preserve">the </w:t>
      </w:r>
      <w:r w:rsidR="00A601FD" w:rsidRPr="0068322B">
        <w:rPr>
          <w:b w:val="0"/>
        </w:rPr>
        <w:t xml:space="preserve">Code of Conduct. There are still cases where local development partners are not </w:t>
      </w:r>
      <w:r w:rsidR="0068322B" w:rsidRPr="0068322B">
        <w:rPr>
          <w:b w:val="0"/>
        </w:rPr>
        <w:t xml:space="preserve">fully abreast of the initiative. </w:t>
      </w:r>
    </w:p>
    <w:p w:rsidR="0068322B" w:rsidRDefault="0068322B" w:rsidP="0068322B">
      <w:pPr>
        <w:pStyle w:val="ListParagraph"/>
      </w:pPr>
    </w:p>
    <w:p w:rsidR="0068322B" w:rsidRDefault="008E3316" w:rsidP="00F05E9A">
      <w:pPr>
        <w:pStyle w:val="ListParagraph"/>
        <w:numPr>
          <w:ilvl w:val="0"/>
          <w:numId w:val="14"/>
        </w:numPr>
        <w:jc w:val="both"/>
        <w:rPr>
          <w:b w:val="0"/>
        </w:rPr>
      </w:pPr>
      <w:r>
        <w:t>Commitment and c</w:t>
      </w:r>
      <w:r w:rsidR="0068322B" w:rsidRPr="0068322B">
        <w:t xml:space="preserve">onstraints on the donors’ side: </w:t>
      </w:r>
      <w:r w:rsidRPr="008E3316">
        <w:rPr>
          <w:b w:val="0"/>
        </w:rPr>
        <w:t>PC feel that donors</w:t>
      </w:r>
      <w:r>
        <w:rPr>
          <w:b w:val="0"/>
        </w:rPr>
        <w:t xml:space="preserve"> at the country level do </w:t>
      </w:r>
      <w:r w:rsidRPr="002654B4">
        <w:rPr>
          <w:b w:val="0"/>
        </w:rPr>
        <w:t>not prioritize sufficiently</w:t>
      </w:r>
      <w:r>
        <w:rPr>
          <w:b w:val="0"/>
        </w:rPr>
        <w:t xml:space="preserve"> the provision of aid information to national authorities. </w:t>
      </w:r>
      <w:r w:rsidR="00AB7E8A">
        <w:rPr>
          <w:b w:val="0"/>
        </w:rPr>
        <w:t>This undermines efforts to put in place AIMs and to have reliable</w:t>
      </w:r>
      <w:r w:rsidR="006C5D49">
        <w:rPr>
          <w:b w:val="0"/>
        </w:rPr>
        <w:t xml:space="preserve"> and</w:t>
      </w:r>
      <w:r w:rsidR="00AB7E8A">
        <w:rPr>
          <w:b w:val="0"/>
        </w:rPr>
        <w:t xml:space="preserve"> up-to-date information </w:t>
      </w:r>
      <w:r w:rsidR="006C5D49">
        <w:rPr>
          <w:b w:val="0"/>
        </w:rPr>
        <w:t xml:space="preserve">available for decision-making purposes at the country level. </w:t>
      </w:r>
      <w:r w:rsidR="0068322B">
        <w:rPr>
          <w:b w:val="0"/>
        </w:rPr>
        <w:t>PC have pointed to the constraints</w:t>
      </w:r>
      <w:r w:rsidR="00EC3EE7">
        <w:rPr>
          <w:b w:val="0"/>
        </w:rPr>
        <w:t xml:space="preserve"> some</w:t>
      </w:r>
      <w:r w:rsidR="0068322B">
        <w:rPr>
          <w:b w:val="0"/>
        </w:rPr>
        <w:t xml:space="preserve"> local development partners face</w:t>
      </w:r>
      <w:r w:rsidR="00A2416C">
        <w:rPr>
          <w:b w:val="0"/>
        </w:rPr>
        <w:t xml:space="preserve"> due to </w:t>
      </w:r>
      <w:r w:rsidR="00A2416C" w:rsidRPr="002654B4">
        <w:rPr>
          <w:b w:val="0"/>
        </w:rPr>
        <w:t>lack of authority</w:t>
      </w:r>
      <w:r w:rsidR="00A2416C">
        <w:rPr>
          <w:b w:val="0"/>
        </w:rPr>
        <w:t xml:space="preserve"> to report directly to PC governments on aid they provide. For those cases, PC encourage devolution of authority</w:t>
      </w:r>
      <w:r w:rsidR="0068322B">
        <w:rPr>
          <w:b w:val="0"/>
        </w:rPr>
        <w:t xml:space="preserve">. </w:t>
      </w:r>
      <w:r w:rsidR="00A2416C">
        <w:rPr>
          <w:b w:val="0"/>
        </w:rPr>
        <w:t xml:space="preserve">In other cases, national authorities face difficulties in obtaining timely information from </w:t>
      </w:r>
      <w:r w:rsidR="00A2416C" w:rsidRPr="002654B4">
        <w:rPr>
          <w:b w:val="0"/>
        </w:rPr>
        <w:t>non-resident donors</w:t>
      </w:r>
      <w:r w:rsidR="00A2416C">
        <w:rPr>
          <w:b w:val="0"/>
        </w:rPr>
        <w:t xml:space="preserve"> or for </w:t>
      </w:r>
      <w:r w:rsidR="00A2416C" w:rsidRPr="002654B4">
        <w:rPr>
          <w:b w:val="0"/>
        </w:rPr>
        <w:t>aid that is directly managed from donors’ headquarters</w:t>
      </w:r>
      <w:r w:rsidR="00A2416C">
        <w:rPr>
          <w:b w:val="0"/>
        </w:rPr>
        <w:t xml:space="preserve"> and for which local</w:t>
      </w:r>
      <w:r w:rsidR="00F6435C">
        <w:rPr>
          <w:b w:val="0"/>
        </w:rPr>
        <w:t xml:space="preserve"> donor</w:t>
      </w:r>
      <w:r w:rsidR="00A2416C">
        <w:rPr>
          <w:b w:val="0"/>
        </w:rPr>
        <w:t xml:space="preserve"> representatives have little or no information.</w:t>
      </w:r>
      <w:r w:rsidR="0068322B">
        <w:rPr>
          <w:b w:val="0"/>
        </w:rPr>
        <w:t xml:space="preserve"> </w:t>
      </w:r>
      <w:r w:rsidR="00F6435C">
        <w:rPr>
          <w:b w:val="0"/>
        </w:rPr>
        <w:t xml:space="preserve">Some development partners do not have </w:t>
      </w:r>
      <w:r w:rsidR="00F6435C" w:rsidRPr="002654B4">
        <w:rPr>
          <w:b w:val="0"/>
        </w:rPr>
        <w:t>human resources capacity</w:t>
      </w:r>
      <w:r w:rsidR="00F6435C">
        <w:rPr>
          <w:b w:val="0"/>
        </w:rPr>
        <w:t xml:space="preserve"> to report and this </w:t>
      </w:r>
      <w:r w:rsidR="002654B4">
        <w:rPr>
          <w:b w:val="0"/>
        </w:rPr>
        <w:t>has</w:t>
      </w:r>
      <w:r w:rsidR="00F6435C">
        <w:rPr>
          <w:b w:val="0"/>
        </w:rPr>
        <w:t xml:space="preserve"> to be addressed. There are cases when the </w:t>
      </w:r>
      <w:r w:rsidR="00F6435C" w:rsidRPr="00F6435C">
        <w:rPr>
          <w:b w:val="0"/>
        </w:rPr>
        <w:t>reporting task</w:t>
      </w:r>
      <w:r w:rsidR="00F6435C">
        <w:rPr>
          <w:b w:val="0"/>
        </w:rPr>
        <w:t xml:space="preserve"> has been allocated to staff from finance/administration</w:t>
      </w:r>
      <w:r w:rsidR="00AC6DD9">
        <w:rPr>
          <w:b w:val="0"/>
        </w:rPr>
        <w:t xml:space="preserve"> units</w:t>
      </w:r>
      <w:r w:rsidR="00F6435C">
        <w:rPr>
          <w:b w:val="0"/>
        </w:rPr>
        <w:t xml:space="preserve"> who do not necessarily have knowledge about the programmes/projects and this leads to inaccurate or incomplete data. I</w:t>
      </w:r>
      <w:r w:rsidR="0068322B">
        <w:rPr>
          <w:b w:val="0"/>
        </w:rPr>
        <w:t xml:space="preserve">t has been suggested that donors nominate </w:t>
      </w:r>
      <w:r w:rsidR="0068322B" w:rsidRPr="002654B4">
        <w:rPr>
          <w:b w:val="0"/>
        </w:rPr>
        <w:t>focal points</w:t>
      </w:r>
      <w:r w:rsidR="0068322B">
        <w:rPr>
          <w:b w:val="0"/>
        </w:rPr>
        <w:t xml:space="preserve"> who are responsible for provision of aid information</w:t>
      </w:r>
      <w:r w:rsidR="00AC6DD9">
        <w:rPr>
          <w:b w:val="0"/>
        </w:rPr>
        <w:t xml:space="preserve"> to national authorities</w:t>
      </w:r>
      <w:r w:rsidR="0068322B">
        <w:rPr>
          <w:b w:val="0"/>
        </w:rPr>
        <w:t>. In many count</w:t>
      </w:r>
      <w:r w:rsidR="00AC6DD9">
        <w:rPr>
          <w:b w:val="0"/>
        </w:rPr>
        <w:t>ries, this is already happening</w:t>
      </w:r>
      <w:r w:rsidR="006C5D49">
        <w:rPr>
          <w:b w:val="0"/>
        </w:rPr>
        <w:t>, but needs reinforcement and systematization</w:t>
      </w:r>
      <w:r w:rsidR="0068322B">
        <w:rPr>
          <w:b w:val="0"/>
        </w:rPr>
        <w:t>.</w:t>
      </w:r>
      <w:r w:rsidR="006C5D49">
        <w:rPr>
          <w:b w:val="0"/>
        </w:rPr>
        <w:t xml:space="preserve"> There was a shared view that </w:t>
      </w:r>
      <w:r w:rsidR="006C5D49" w:rsidRPr="00634943">
        <w:rPr>
          <w:b w:val="0"/>
        </w:rPr>
        <w:t>global and regional multilateral organizations</w:t>
      </w:r>
      <w:r w:rsidR="00634943" w:rsidRPr="00634943">
        <w:rPr>
          <w:b w:val="0"/>
        </w:rPr>
        <w:t xml:space="preserve">, incl. the UN </w:t>
      </w:r>
      <w:r w:rsidR="00634943">
        <w:rPr>
          <w:b w:val="0"/>
        </w:rPr>
        <w:t>System</w:t>
      </w:r>
      <w:r w:rsidR="0068322B" w:rsidRPr="00634943">
        <w:rPr>
          <w:b w:val="0"/>
        </w:rPr>
        <w:t xml:space="preserve"> </w:t>
      </w:r>
      <w:r w:rsidR="006C5D49">
        <w:rPr>
          <w:b w:val="0"/>
        </w:rPr>
        <w:t xml:space="preserve">also have </w:t>
      </w:r>
      <w:r w:rsidR="00634943">
        <w:rPr>
          <w:b w:val="0"/>
        </w:rPr>
        <w:t>to</w:t>
      </w:r>
      <w:r w:rsidR="006C5D49">
        <w:rPr>
          <w:b w:val="0"/>
        </w:rPr>
        <w:t xml:space="preserve"> improv</w:t>
      </w:r>
      <w:r w:rsidR="00634943">
        <w:rPr>
          <w:b w:val="0"/>
        </w:rPr>
        <w:t>e</w:t>
      </w:r>
      <w:r w:rsidR="006C5D49">
        <w:rPr>
          <w:b w:val="0"/>
        </w:rPr>
        <w:t xml:space="preserve"> the </w:t>
      </w:r>
      <w:r w:rsidR="006C5D49">
        <w:rPr>
          <w:b w:val="0"/>
        </w:rPr>
        <w:lastRenderedPageBreak/>
        <w:t>information they make available to PC. Double counting of aid continues to be an issue at the country level.</w:t>
      </w:r>
    </w:p>
    <w:p w:rsidR="0068322B" w:rsidRPr="0068322B" w:rsidRDefault="0068322B" w:rsidP="0068322B">
      <w:pPr>
        <w:pStyle w:val="ListParagraph"/>
        <w:jc w:val="both"/>
        <w:rPr>
          <w:b w:val="0"/>
        </w:rPr>
      </w:pPr>
    </w:p>
    <w:p w:rsidR="008F143B" w:rsidRDefault="008F143B" w:rsidP="00F05E9A">
      <w:pPr>
        <w:pStyle w:val="ListParagraph"/>
        <w:numPr>
          <w:ilvl w:val="0"/>
          <w:numId w:val="14"/>
        </w:numPr>
        <w:jc w:val="both"/>
        <w:rPr>
          <w:b w:val="0"/>
        </w:rPr>
      </w:pPr>
      <w:r w:rsidRPr="008F143B">
        <w:t xml:space="preserve">An international standard and a Code of Conduct, but flexible enough: </w:t>
      </w:r>
      <w:r>
        <w:rPr>
          <w:b w:val="0"/>
        </w:rPr>
        <w:t>While PC acknowledge the need and value added of the IATI standard</w:t>
      </w:r>
      <w:r w:rsidR="00FB6D60">
        <w:rPr>
          <w:b w:val="0"/>
        </w:rPr>
        <w:t xml:space="preserve"> and the Code of Conduct, they also made it clear throughout the consultations that these should be flexible to allow adaptation to country contexts, national development priorities (e.g. results reporting), </w:t>
      </w:r>
      <w:r w:rsidR="001D55DA">
        <w:rPr>
          <w:b w:val="0"/>
        </w:rPr>
        <w:t xml:space="preserve">national </w:t>
      </w:r>
      <w:r w:rsidR="00FB6D60">
        <w:rPr>
          <w:b w:val="0"/>
        </w:rPr>
        <w:t>systems (e.g. budget cycle/</w:t>
      </w:r>
      <w:r w:rsidR="001D55DA">
        <w:rPr>
          <w:b w:val="0"/>
        </w:rPr>
        <w:t xml:space="preserve">strengthening of </w:t>
      </w:r>
      <w:r w:rsidR="00FB6D60">
        <w:rPr>
          <w:b w:val="0"/>
        </w:rPr>
        <w:t>local AIMs/frequency of reporting</w:t>
      </w:r>
      <w:r w:rsidR="001D55DA">
        <w:rPr>
          <w:b w:val="0"/>
        </w:rPr>
        <w:t>/type of information required from the government</w:t>
      </w:r>
      <w:r w:rsidR="00FB6D60">
        <w:rPr>
          <w:b w:val="0"/>
        </w:rPr>
        <w:t xml:space="preserve">). </w:t>
      </w:r>
    </w:p>
    <w:p w:rsidR="008F143B" w:rsidRDefault="008F143B" w:rsidP="008F143B">
      <w:pPr>
        <w:pStyle w:val="ListParagraph"/>
      </w:pPr>
    </w:p>
    <w:p w:rsidR="00B204FB" w:rsidRDefault="0004333A" w:rsidP="00F05E9A">
      <w:pPr>
        <w:pStyle w:val="ListParagraph"/>
        <w:numPr>
          <w:ilvl w:val="0"/>
          <w:numId w:val="14"/>
        </w:numPr>
        <w:jc w:val="both"/>
        <w:rPr>
          <w:b w:val="0"/>
        </w:rPr>
      </w:pPr>
      <w:r>
        <w:t>Compliance with the future IATI standard</w:t>
      </w:r>
      <w:r w:rsidR="00CA6587">
        <w:t xml:space="preserve">: </w:t>
      </w:r>
      <w:r w:rsidR="00CA6587">
        <w:rPr>
          <w:b w:val="0"/>
        </w:rPr>
        <w:t>PC remain skeptical as to their capacity to ensure compliance with a global standard at the country level</w:t>
      </w:r>
      <w:r w:rsidR="00502E9D">
        <w:rPr>
          <w:b w:val="0"/>
        </w:rPr>
        <w:t>, as well as donors’ compliance</w:t>
      </w:r>
      <w:r w:rsidR="00CA6587">
        <w:rPr>
          <w:b w:val="0"/>
        </w:rPr>
        <w:t xml:space="preserve">. The </w:t>
      </w:r>
      <w:r w:rsidR="00B204FB">
        <w:rPr>
          <w:b w:val="0"/>
        </w:rPr>
        <w:t xml:space="preserve">slow progress in the </w:t>
      </w:r>
      <w:r w:rsidR="00CA6587">
        <w:rPr>
          <w:b w:val="0"/>
        </w:rPr>
        <w:t>implementation of the Paris Declaration targets in countries is a case in point. Mutual accountability mechanisms are too weak</w:t>
      </w:r>
      <w:r w:rsidR="00502E9D">
        <w:rPr>
          <w:b w:val="0"/>
        </w:rPr>
        <w:t>; aid agenda continues to be donor-driven in many cases</w:t>
      </w:r>
      <w:r w:rsidR="00CA6587">
        <w:rPr>
          <w:b w:val="0"/>
        </w:rPr>
        <w:t xml:space="preserve"> and governments of developing countries have few tools to ensure compliance. </w:t>
      </w:r>
      <w:r w:rsidR="00B204FB">
        <w:rPr>
          <w:b w:val="0"/>
        </w:rPr>
        <w:t>A</w:t>
      </w:r>
      <w:r w:rsidR="00CA6587">
        <w:rPr>
          <w:b w:val="0"/>
        </w:rPr>
        <w:t xml:space="preserve">id data collection </w:t>
      </w:r>
      <w:r w:rsidR="00502E9D">
        <w:rPr>
          <w:b w:val="0"/>
        </w:rPr>
        <w:t xml:space="preserve">undertaken by developing partners produces </w:t>
      </w:r>
      <w:r w:rsidR="00CA6587">
        <w:rPr>
          <w:b w:val="0"/>
        </w:rPr>
        <w:t xml:space="preserve">mixed results in terms of timeliness, quality and compliance with national </w:t>
      </w:r>
      <w:r w:rsidR="006C5D49">
        <w:rPr>
          <w:b w:val="0"/>
        </w:rPr>
        <w:t>requirements (scope/reporting format)</w:t>
      </w:r>
      <w:r w:rsidR="00CA6587">
        <w:rPr>
          <w:b w:val="0"/>
        </w:rPr>
        <w:t xml:space="preserve">. </w:t>
      </w:r>
      <w:r w:rsidR="00CA6587" w:rsidRPr="00502E9D">
        <w:rPr>
          <w:b w:val="0"/>
        </w:rPr>
        <w:t>Peer pressure</w:t>
      </w:r>
      <w:r w:rsidR="00CA6587">
        <w:rPr>
          <w:b w:val="0"/>
        </w:rPr>
        <w:t xml:space="preserve"> has worked in some cases, but has its limits. </w:t>
      </w:r>
      <w:r w:rsidR="00B204FB">
        <w:rPr>
          <w:b w:val="0"/>
        </w:rPr>
        <w:t>Some donors remain</w:t>
      </w:r>
      <w:r w:rsidR="00CA6587">
        <w:rPr>
          <w:b w:val="0"/>
        </w:rPr>
        <w:t xml:space="preserve"> </w:t>
      </w:r>
      <w:r w:rsidR="00B204FB">
        <w:rPr>
          <w:b w:val="0"/>
        </w:rPr>
        <w:t>outside aid coordination mechanisms at the country level</w:t>
      </w:r>
      <w:r w:rsidR="006C5D49">
        <w:rPr>
          <w:b w:val="0"/>
        </w:rPr>
        <w:t xml:space="preserve"> or engage insufficiently in the aid effectiveness dialogue</w:t>
      </w:r>
      <w:r w:rsidR="00B204FB">
        <w:rPr>
          <w:b w:val="0"/>
        </w:rPr>
        <w:t>.</w:t>
      </w:r>
    </w:p>
    <w:p w:rsidR="00CA6587" w:rsidRPr="00CA6587" w:rsidRDefault="00CA6587" w:rsidP="00CA6587">
      <w:pPr>
        <w:pStyle w:val="ListParagraph"/>
        <w:jc w:val="both"/>
        <w:rPr>
          <w:b w:val="0"/>
        </w:rPr>
      </w:pPr>
    </w:p>
    <w:p w:rsidR="00DA7CE9" w:rsidRDefault="00593178" w:rsidP="00F05E9A">
      <w:pPr>
        <w:pStyle w:val="ListParagraph"/>
        <w:numPr>
          <w:ilvl w:val="0"/>
          <w:numId w:val="14"/>
        </w:numPr>
        <w:jc w:val="both"/>
        <w:rPr>
          <w:b w:val="0"/>
        </w:rPr>
      </w:pPr>
      <w:r w:rsidRPr="004F1767">
        <w:t>Scope of the IATI standard:</w:t>
      </w:r>
      <w:r w:rsidR="00CA6587">
        <w:t xml:space="preserve"> </w:t>
      </w:r>
      <w:r w:rsidRPr="00DA7CE9">
        <w:rPr>
          <w:b w:val="0"/>
        </w:rPr>
        <w:t xml:space="preserve">PC largely confirmed </w:t>
      </w:r>
      <w:r w:rsidR="002C7077" w:rsidRPr="00DA7CE9">
        <w:rPr>
          <w:b w:val="0"/>
        </w:rPr>
        <w:t xml:space="preserve">that </w:t>
      </w:r>
      <w:r w:rsidRPr="00DA7CE9">
        <w:rPr>
          <w:b w:val="0"/>
        </w:rPr>
        <w:t xml:space="preserve">the priority areas </w:t>
      </w:r>
      <w:r w:rsidR="000371CB" w:rsidRPr="00DA7CE9">
        <w:rPr>
          <w:b w:val="0"/>
        </w:rPr>
        <w:t>considered</w:t>
      </w:r>
      <w:r w:rsidRPr="00DA7CE9">
        <w:rPr>
          <w:b w:val="0"/>
        </w:rPr>
        <w:t xml:space="preserve"> in the scope of the IATI standard</w:t>
      </w:r>
      <w:r w:rsidR="002C7077" w:rsidRPr="00DA7CE9">
        <w:rPr>
          <w:b w:val="0"/>
        </w:rPr>
        <w:t>,</w:t>
      </w:r>
      <w:r w:rsidR="000371CB" w:rsidRPr="00DA7CE9">
        <w:rPr>
          <w:b w:val="0"/>
        </w:rPr>
        <w:t xml:space="preserve"> as defined in the IATI Scoping Paper</w:t>
      </w:r>
      <w:r w:rsidR="00C75B77">
        <w:rPr>
          <w:rStyle w:val="FootnoteReference"/>
          <w:b w:val="0"/>
        </w:rPr>
        <w:footnoteReference w:id="2"/>
      </w:r>
      <w:r w:rsidR="002C7077" w:rsidRPr="00DA7CE9">
        <w:rPr>
          <w:b w:val="0"/>
        </w:rPr>
        <w:t>,</w:t>
      </w:r>
      <w:r w:rsidR="000371CB" w:rsidRPr="00DA7CE9">
        <w:rPr>
          <w:b w:val="0"/>
        </w:rPr>
        <w:t xml:space="preserve"> meet their information needs. Timely, up-to-date and </w:t>
      </w:r>
      <w:r w:rsidR="002C7077" w:rsidRPr="00DA7CE9">
        <w:rPr>
          <w:b w:val="0"/>
        </w:rPr>
        <w:t xml:space="preserve">reliable information about </w:t>
      </w:r>
      <w:r w:rsidR="002C7077" w:rsidRPr="006C5D49">
        <w:rPr>
          <w:i/>
        </w:rPr>
        <w:t>current</w:t>
      </w:r>
      <w:r w:rsidR="002C7077" w:rsidRPr="006C5D49">
        <w:t xml:space="preserve"> and </w:t>
      </w:r>
      <w:r w:rsidR="002C7077" w:rsidRPr="006C5D49">
        <w:rPr>
          <w:i/>
        </w:rPr>
        <w:t>future</w:t>
      </w:r>
      <w:r w:rsidR="002C7077" w:rsidRPr="006C5D49">
        <w:t xml:space="preserve"> aid flows</w:t>
      </w:r>
      <w:r w:rsidR="002C7077" w:rsidRPr="00DA7CE9">
        <w:rPr>
          <w:b w:val="0"/>
        </w:rPr>
        <w:t xml:space="preserve"> are considered to top the priority agenda. </w:t>
      </w:r>
      <w:r w:rsidR="00B90B27">
        <w:rPr>
          <w:b w:val="0"/>
        </w:rPr>
        <w:t>Information about f</w:t>
      </w:r>
      <w:r w:rsidR="00AC6DD9">
        <w:rPr>
          <w:b w:val="0"/>
        </w:rPr>
        <w:t>uture aid flows (</w:t>
      </w:r>
      <w:r w:rsidR="006C5D49">
        <w:rPr>
          <w:b w:val="0"/>
        </w:rPr>
        <w:t xml:space="preserve">forecasts of </w:t>
      </w:r>
      <w:r w:rsidR="00AC6DD9">
        <w:rPr>
          <w:b w:val="0"/>
        </w:rPr>
        <w:t xml:space="preserve">3 to 5 years) are considered to be of significant importance in terms of budget planning and macro-economic management. </w:t>
      </w:r>
      <w:r w:rsidR="002C7077" w:rsidRPr="00DA7CE9">
        <w:rPr>
          <w:b w:val="0"/>
        </w:rPr>
        <w:t xml:space="preserve">Similarly, more detailed information about </w:t>
      </w:r>
      <w:r w:rsidR="002C7077" w:rsidRPr="000A054F">
        <w:rPr>
          <w:i/>
        </w:rPr>
        <w:t>where, when, how, on what</w:t>
      </w:r>
      <w:r w:rsidR="002C7077" w:rsidRPr="000A054F">
        <w:t xml:space="preserve"> and </w:t>
      </w:r>
      <w:r w:rsidR="002C7077" w:rsidRPr="000A054F">
        <w:rPr>
          <w:i/>
        </w:rPr>
        <w:t>in which</w:t>
      </w:r>
      <w:r w:rsidR="002C7077" w:rsidRPr="000A054F">
        <w:t xml:space="preserve"> sectors</w:t>
      </w:r>
      <w:r w:rsidR="002C7077" w:rsidRPr="00DA7CE9">
        <w:rPr>
          <w:b w:val="0"/>
        </w:rPr>
        <w:t xml:space="preserve"> aid is spent on are important for the purposes of decision-making </w:t>
      </w:r>
      <w:r w:rsidR="00C75B77" w:rsidRPr="00DA7CE9">
        <w:rPr>
          <w:b w:val="0"/>
        </w:rPr>
        <w:t>of PC</w:t>
      </w:r>
      <w:r w:rsidR="002C7077" w:rsidRPr="00DA7CE9">
        <w:rPr>
          <w:b w:val="0"/>
        </w:rPr>
        <w:t xml:space="preserve"> governments. </w:t>
      </w:r>
      <w:r w:rsidR="00C75B77" w:rsidRPr="00DA7CE9">
        <w:rPr>
          <w:b w:val="0"/>
        </w:rPr>
        <w:t xml:space="preserve">PC also stressed the need for better information that would allow them to monitor </w:t>
      </w:r>
      <w:r w:rsidR="00C75B77" w:rsidRPr="000A054F">
        <w:t>results and the impact of aid</w:t>
      </w:r>
      <w:r w:rsidR="00C75B77" w:rsidRPr="00DA7CE9">
        <w:rPr>
          <w:b w:val="0"/>
        </w:rPr>
        <w:t xml:space="preserve"> in their countries.</w:t>
      </w:r>
      <w:r w:rsidR="002C7077" w:rsidRPr="00DA7CE9">
        <w:rPr>
          <w:b w:val="0"/>
        </w:rPr>
        <w:t xml:space="preserve"> </w:t>
      </w:r>
      <w:r w:rsidR="004F1767" w:rsidRPr="00DA7CE9">
        <w:rPr>
          <w:b w:val="0"/>
        </w:rPr>
        <w:t xml:space="preserve">Results should be aligned with the outcomes and outputs defined in national development strategies and plans. </w:t>
      </w:r>
      <w:r w:rsidR="004F1767" w:rsidRPr="000A054F">
        <w:t>Better coverage of aid flows</w:t>
      </w:r>
      <w:r w:rsidR="004F1767" w:rsidRPr="00DA7CE9">
        <w:rPr>
          <w:b w:val="0"/>
        </w:rPr>
        <w:t xml:space="preserve"> from a wider range of donors, including non-DAC donors, multilateral agencies, NGOs, foundations is also a priority. </w:t>
      </w:r>
      <w:r w:rsidR="00563906">
        <w:rPr>
          <w:b w:val="0"/>
        </w:rPr>
        <w:t xml:space="preserve">Resources that </w:t>
      </w:r>
      <w:r w:rsidR="00563906" w:rsidRPr="000A054F">
        <w:t>g</w:t>
      </w:r>
      <w:r w:rsidR="0010006D" w:rsidRPr="000A054F">
        <w:t>lobal funds</w:t>
      </w:r>
      <w:r w:rsidR="00563906">
        <w:rPr>
          <w:b w:val="0"/>
        </w:rPr>
        <w:t xml:space="preserve"> are channeling to countries also need to be captured. Dialogue and information sharing </w:t>
      </w:r>
      <w:r w:rsidR="000A054F">
        <w:rPr>
          <w:b w:val="0"/>
        </w:rPr>
        <w:t>with</w:t>
      </w:r>
      <w:r w:rsidR="00563906">
        <w:rPr>
          <w:b w:val="0"/>
        </w:rPr>
        <w:t xml:space="preserve"> </w:t>
      </w:r>
      <w:r w:rsidR="00563906" w:rsidRPr="000A054F">
        <w:t xml:space="preserve">NGOs </w:t>
      </w:r>
      <w:r w:rsidR="00563906">
        <w:rPr>
          <w:b w:val="0"/>
        </w:rPr>
        <w:t>vary across countries, however, the general sense is that aid going through NGOs is largely not reported to the national authorities.</w:t>
      </w:r>
      <w:r w:rsidR="0010006D">
        <w:rPr>
          <w:b w:val="0"/>
        </w:rPr>
        <w:t xml:space="preserve"> </w:t>
      </w:r>
      <w:r w:rsidR="004F1767" w:rsidRPr="00DA7CE9">
        <w:rPr>
          <w:b w:val="0"/>
        </w:rPr>
        <w:t xml:space="preserve">Information pertaining to </w:t>
      </w:r>
      <w:r w:rsidR="004F1767" w:rsidRPr="000A054F">
        <w:t>conditions, but also conditionalities</w:t>
      </w:r>
      <w:r w:rsidR="004F1767" w:rsidRPr="00B90B27">
        <w:rPr>
          <w:b w:val="0"/>
        </w:rPr>
        <w:t xml:space="preserve"> </w:t>
      </w:r>
      <w:r w:rsidR="004F1767" w:rsidRPr="00DA7CE9">
        <w:rPr>
          <w:b w:val="0"/>
        </w:rPr>
        <w:t xml:space="preserve">was considered to be </w:t>
      </w:r>
      <w:r w:rsidR="00B90B27" w:rsidRPr="00DA7CE9">
        <w:rPr>
          <w:b w:val="0"/>
        </w:rPr>
        <w:t>essential</w:t>
      </w:r>
      <w:r w:rsidR="00B90B27">
        <w:rPr>
          <w:b w:val="0"/>
        </w:rPr>
        <w:t xml:space="preserve"> to PC. L</w:t>
      </w:r>
      <w:r w:rsidR="004F1767" w:rsidRPr="00DA7CE9">
        <w:rPr>
          <w:b w:val="0"/>
        </w:rPr>
        <w:t>ack of such information undermines PC ownership.</w:t>
      </w:r>
      <w:r w:rsidR="00B971C8">
        <w:rPr>
          <w:b w:val="0"/>
        </w:rPr>
        <w:t xml:space="preserve"> </w:t>
      </w:r>
      <w:r w:rsidR="004F1767" w:rsidRPr="00DA7CE9">
        <w:rPr>
          <w:b w:val="0"/>
        </w:rPr>
        <w:t xml:space="preserve">A number of PC are already monitoring progress at the country level </w:t>
      </w:r>
      <w:r w:rsidR="00B94B76" w:rsidRPr="00DA7CE9">
        <w:rPr>
          <w:b w:val="0"/>
        </w:rPr>
        <w:t xml:space="preserve">on the </w:t>
      </w:r>
      <w:r w:rsidR="00B94B76" w:rsidRPr="000A054F">
        <w:t>Paris Declaration targets</w:t>
      </w:r>
      <w:r w:rsidR="00B94B76" w:rsidRPr="00DA7CE9">
        <w:rPr>
          <w:b w:val="0"/>
        </w:rPr>
        <w:t xml:space="preserve"> and this was considered to be a useful part of the standard, as well as the possibility to map aid spending </w:t>
      </w:r>
      <w:r w:rsidR="00B94B76" w:rsidRPr="00DA7CE9">
        <w:rPr>
          <w:b w:val="0"/>
        </w:rPr>
        <w:lastRenderedPageBreak/>
        <w:t>against commonly agreed gender and climate change indicators.</w:t>
      </w:r>
      <w:r w:rsidR="00DA7CE9" w:rsidRPr="00DA7CE9">
        <w:rPr>
          <w:b w:val="0"/>
        </w:rPr>
        <w:t xml:space="preserve"> </w:t>
      </w:r>
      <w:r w:rsidR="00B94B76" w:rsidRPr="00DA7CE9">
        <w:rPr>
          <w:b w:val="0"/>
        </w:rPr>
        <w:t xml:space="preserve">The </w:t>
      </w:r>
      <w:r w:rsidR="00B94B76" w:rsidRPr="000A054F">
        <w:t>contract and procurement details</w:t>
      </w:r>
      <w:r w:rsidR="00B94B76" w:rsidRPr="00DA7CE9">
        <w:rPr>
          <w:b w:val="0"/>
        </w:rPr>
        <w:t xml:space="preserve"> were less</w:t>
      </w:r>
      <w:r w:rsidR="000A054F">
        <w:rPr>
          <w:b w:val="0"/>
        </w:rPr>
        <w:t xml:space="preserve"> important</w:t>
      </w:r>
      <w:r w:rsidR="00B94B76" w:rsidRPr="00DA7CE9">
        <w:rPr>
          <w:b w:val="0"/>
        </w:rPr>
        <w:t xml:space="preserve"> for PC compared to the other areas of the IATI standard.</w:t>
      </w:r>
      <w:r w:rsidR="00DA7CE9" w:rsidRPr="00DA7CE9">
        <w:rPr>
          <w:b w:val="0"/>
        </w:rPr>
        <w:t xml:space="preserve"> </w:t>
      </w:r>
      <w:r w:rsidR="00B94B76" w:rsidRPr="000A054F">
        <w:t>Non-statistical information</w:t>
      </w:r>
      <w:r w:rsidR="00B90B27">
        <w:rPr>
          <w:b w:val="0"/>
        </w:rPr>
        <w:t xml:space="preserve"> (documents pertaining to donor’s strategy, policy, evaluations, etc.)</w:t>
      </w:r>
      <w:r w:rsidR="00B94B76" w:rsidRPr="00DA7CE9">
        <w:rPr>
          <w:b w:val="0"/>
        </w:rPr>
        <w:t xml:space="preserve"> was considered to be key as it pertained to setting the dialogue and cooperation framework between PC governments and development partners.</w:t>
      </w:r>
      <w:r w:rsidR="00DA7CE9">
        <w:rPr>
          <w:b w:val="0"/>
        </w:rPr>
        <w:t xml:space="preserve"> </w:t>
      </w:r>
    </w:p>
    <w:p w:rsidR="00DA7CE9" w:rsidRDefault="00DA7CE9" w:rsidP="00DA7CE9">
      <w:pPr>
        <w:pStyle w:val="ListParagraph"/>
        <w:jc w:val="both"/>
        <w:rPr>
          <w:b w:val="0"/>
        </w:rPr>
      </w:pPr>
    </w:p>
    <w:p w:rsidR="00DA7CE9" w:rsidRDefault="00DA7CE9" w:rsidP="00F05E9A">
      <w:pPr>
        <w:pStyle w:val="ListParagraph"/>
        <w:numPr>
          <w:ilvl w:val="0"/>
          <w:numId w:val="14"/>
        </w:numPr>
        <w:jc w:val="both"/>
        <w:rPr>
          <w:b w:val="0"/>
        </w:rPr>
      </w:pPr>
      <w:r w:rsidRPr="00F24B39">
        <w:t>Other areas of aid information responding to PC needs:</w:t>
      </w:r>
      <w:r w:rsidRPr="00DA7CE9">
        <w:rPr>
          <w:b w:val="0"/>
        </w:rPr>
        <w:t xml:space="preserve"> </w:t>
      </w:r>
      <w:r w:rsidR="00F24B39">
        <w:rPr>
          <w:b w:val="0"/>
        </w:rPr>
        <w:t>In some cases decentralized entities (e.g. cities/municipalities) provide assistance to decentralized entities in PC</w:t>
      </w:r>
      <w:r w:rsidRPr="00DA7CE9">
        <w:rPr>
          <w:b w:val="0"/>
        </w:rPr>
        <w:t>.</w:t>
      </w:r>
      <w:r w:rsidR="00F24B39">
        <w:rPr>
          <w:b w:val="0"/>
        </w:rPr>
        <w:t xml:space="preserve"> Central governments are unable to capture this information in their AIMs.</w:t>
      </w:r>
      <w:r w:rsidR="00AC6DD9">
        <w:rPr>
          <w:b w:val="0"/>
        </w:rPr>
        <w:t xml:space="preserve"> It was suggested that the scope of the standard c</w:t>
      </w:r>
      <w:r w:rsidR="0010006D">
        <w:rPr>
          <w:b w:val="0"/>
        </w:rPr>
        <w:t>overs</w:t>
      </w:r>
      <w:r w:rsidR="00AC6DD9">
        <w:rPr>
          <w:b w:val="0"/>
        </w:rPr>
        <w:t xml:space="preserve"> these flows of aid.</w:t>
      </w:r>
      <w:r w:rsidR="000A054F">
        <w:rPr>
          <w:b w:val="0"/>
        </w:rPr>
        <w:t xml:space="preserve"> In the LAC region, capturing and having a common definition and methodology for monetarizing South-South cooperation was considered to be of importance. </w:t>
      </w:r>
    </w:p>
    <w:p w:rsidR="00DA7CE9" w:rsidRPr="00DA7CE9" w:rsidRDefault="00DA7CE9" w:rsidP="00DA7CE9">
      <w:pPr>
        <w:pStyle w:val="ListParagraph"/>
        <w:rPr>
          <w:b w:val="0"/>
        </w:rPr>
      </w:pPr>
    </w:p>
    <w:p w:rsidR="00DA7CE9" w:rsidRDefault="00DA7CE9" w:rsidP="00DA7CE9">
      <w:pPr>
        <w:pStyle w:val="ListParagraph"/>
        <w:numPr>
          <w:ilvl w:val="0"/>
          <w:numId w:val="14"/>
        </w:numPr>
        <w:jc w:val="both"/>
        <w:rPr>
          <w:b w:val="0"/>
        </w:rPr>
      </w:pPr>
      <w:r w:rsidRPr="00DA7CE9">
        <w:t>Role of PC in providing aid information:</w:t>
      </w:r>
      <w:r w:rsidRPr="00924C62">
        <w:rPr>
          <w:b w:val="0"/>
        </w:rPr>
        <w:t xml:space="preserve"> </w:t>
      </w:r>
      <w:r w:rsidR="00B94B76" w:rsidRPr="00924C62">
        <w:rPr>
          <w:b w:val="0"/>
        </w:rPr>
        <w:t>PC also affirmed that they have a role to play in the provision of aid information. Such cases included all aid, which passes through national budgets</w:t>
      </w:r>
      <w:r w:rsidR="00AF46D6" w:rsidRPr="00AF46D6">
        <w:rPr>
          <w:b w:val="0"/>
        </w:rPr>
        <w:t xml:space="preserve"> </w:t>
      </w:r>
      <w:r w:rsidR="00AF46D6" w:rsidRPr="00924C62">
        <w:rPr>
          <w:b w:val="0"/>
        </w:rPr>
        <w:t>or when goods or services are procured through national procurement systems</w:t>
      </w:r>
      <w:r w:rsidR="007B6976" w:rsidRPr="00924C62">
        <w:rPr>
          <w:b w:val="0"/>
        </w:rPr>
        <w:t xml:space="preserve">; </w:t>
      </w:r>
      <w:r w:rsidR="00AF46D6">
        <w:rPr>
          <w:b w:val="0"/>
        </w:rPr>
        <w:t xml:space="preserve">shared responsibility with donors </w:t>
      </w:r>
      <w:r w:rsidR="007B6976" w:rsidRPr="00924C62">
        <w:rPr>
          <w:b w:val="0"/>
        </w:rPr>
        <w:t>when governments cost-share</w:t>
      </w:r>
      <w:r w:rsidR="00B94B76" w:rsidRPr="00924C62">
        <w:rPr>
          <w:b w:val="0"/>
        </w:rPr>
        <w:t>.</w:t>
      </w:r>
      <w:r w:rsidR="007B6976" w:rsidRPr="00924C62">
        <w:rPr>
          <w:b w:val="0"/>
        </w:rPr>
        <w:t xml:space="preserve"> Similarly, PC have the resp</w:t>
      </w:r>
      <w:r w:rsidR="00A526A1" w:rsidRPr="00924C62">
        <w:rPr>
          <w:b w:val="0"/>
        </w:rPr>
        <w:t>onsibility to report on results, linked to their national development plans or sector strategies.</w:t>
      </w:r>
    </w:p>
    <w:p w:rsidR="00924C62" w:rsidRPr="00924C62" w:rsidRDefault="00924C62" w:rsidP="00924C62">
      <w:pPr>
        <w:pStyle w:val="ListParagraph"/>
        <w:rPr>
          <w:b w:val="0"/>
        </w:rPr>
      </w:pPr>
    </w:p>
    <w:p w:rsidR="00696898" w:rsidRDefault="00924C62" w:rsidP="00DA7CE9">
      <w:pPr>
        <w:pStyle w:val="ListParagraph"/>
        <w:numPr>
          <w:ilvl w:val="0"/>
          <w:numId w:val="14"/>
        </w:numPr>
        <w:jc w:val="both"/>
        <w:rPr>
          <w:b w:val="0"/>
        </w:rPr>
      </w:pPr>
      <w:r>
        <w:t xml:space="preserve">The role of AIMs at the country level: </w:t>
      </w:r>
      <w:r w:rsidRPr="00A526A1">
        <w:rPr>
          <w:b w:val="0"/>
        </w:rPr>
        <w:t>PC</w:t>
      </w:r>
      <w:r>
        <w:t xml:space="preserve"> </w:t>
      </w:r>
      <w:r w:rsidRPr="00A526A1">
        <w:rPr>
          <w:b w:val="0"/>
        </w:rPr>
        <w:t xml:space="preserve">in </w:t>
      </w:r>
      <w:r>
        <w:rPr>
          <w:b w:val="0"/>
        </w:rPr>
        <w:t xml:space="preserve">all regions are investing resources (human and financial) and time in the establishment and management of local AIMs. In many cases this is done with support </w:t>
      </w:r>
      <w:r w:rsidR="000A054F">
        <w:rPr>
          <w:b w:val="0"/>
        </w:rPr>
        <w:t xml:space="preserve">from </w:t>
      </w:r>
      <w:r>
        <w:rPr>
          <w:b w:val="0"/>
        </w:rPr>
        <w:t xml:space="preserve">development partners. </w:t>
      </w:r>
      <w:r w:rsidR="00696898">
        <w:rPr>
          <w:b w:val="0"/>
        </w:rPr>
        <w:t xml:space="preserve">The reporting requirements vary from country to country, but broadly fall within the scope of the IATI standard. A lot of positive examples were given of the capacities of these systems to provide information on aid commitments and disbursements per sector, in monitoring progress towards national development goals, the MDGs or the Paris Declaration targets, etc. </w:t>
      </w:r>
      <w:r>
        <w:rPr>
          <w:b w:val="0"/>
        </w:rPr>
        <w:t>The</w:t>
      </w:r>
      <w:r w:rsidR="000A054F">
        <w:rPr>
          <w:b w:val="0"/>
        </w:rPr>
        <w:t xml:space="preserve"> concern, however, is that overall compliance with the </w:t>
      </w:r>
      <w:r w:rsidR="00696898">
        <w:rPr>
          <w:b w:val="0"/>
        </w:rPr>
        <w:t xml:space="preserve">national </w:t>
      </w:r>
      <w:r w:rsidR="000A054F">
        <w:rPr>
          <w:b w:val="0"/>
        </w:rPr>
        <w:t xml:space="preserve">reporting requirements is low to moderate and that PC are unable to ensure full compliance. </w:t>
      </w:r>
      <w:r w:rsidR="00696898">
        <w:rPr>
          <w:b w:val="0"/>
        </w:rPr>
        <w:t>IATI should support such systems and reinforce reporting compliance at the country level.</w:t>
      </w:r>
    </w:p>
    <w:p w:rsidR="00696898" w:rsidRPr="00696898" w:rsidRDefault="00696898" w:rsidP="00696898">
      <w:pPr>
        <w:pStyle w:val="ListParagraph"/>
        <w:rPr>
          <w:b w:val="0"/>
        </w:rPr>
      </w:pPr>
    </w:p>
    <w:p w:rsidR="00696898" w:rsidRPr="00696898" w:rsidRDefault="00696898" w:rsidP="00DA7CE9">
      <w:pPr>
        <w:pStyle w:val="ListParagraph"/>
        <w:numPr>
          <w:ilvl w:val="0"/>
          <w:numId w:val="14"/>
        </w:numPr>
        <w:jc w:val="both"/>
        <w:rPr>
          <w:b w:val="0"/>
        </w:rPr>
      </w:pPr>
      <w:r w:rsidRPr="00696898">
        <w:t>The IATI Code of Conduct:</w:t>
      </w:r>
      <w:r>
        <w:t xml:space="preserve"> </w:t>
      </w:r>
      <w:r>
        <w:rPr>
          <w:b w:val="0"/>
        </w:rPr>
        <w:t xml:space="preserve">PC consider the Code of Conduct to be a key instrument for ensuring transparency and accountability. The Code should be robust and consists of monitorable actions and indicators. </w:t>
      </w:r>
      <w:r w:rsidR="00091DD7">
        <w:rPr>
          <w:b w:val="0"/>
        </w:rPr>
        <w:t xml:space="preserve">It should also be flexible and allow to be tailored to the needs of PC governments (e.g. reporting frequency). </w:t>
      </w:r>
      <w:r>
        <w:rPr>
          <w:b w:val="0"/>
        </w:rPr>
        <w:t>In the Arab States and LAC consultations, some countries called for a legally binding instrument, while in the Asia and the Pacific there was a concern that the term “code of conduct” might be interpreted by some as requiring incorporation into law before signature. Despite these differences, there is an agreement that ensuring compliance with the IATI standards would be paramount if the initiative is to attain its objectives. In this regard, independent monitoring of compliance is the preferred option.</w:t>
      </w:r>
      <w:r>
        <w:t xml:space="preserve"> </w:t>
      </w:r>
      <w:r w:rsidRPr="00696898">
        <w:rPr>
          <w:b w:val="0"/>
        </w:rPr>
        <w:t>Peer</w:t>
      </w:r>
      <w:r>
        <w:rPr>
          <w:b w:val="0"/>
        </w:rPr>
        <w:t xml:space="preserve"> reviews are considered to be insufficient. There was a consensus as well that PC would need to play an important role in any monitoring mechanisms or processes that would be put in place. In the Asia and the Pacific, there was a proposal for establishing an independent body, other than the IATI Secretariat. The </w:t>
      </w:r>
      <w:r>
        <w:rPr>
          <w:b w:val="0"/>
        </w:rPr>
        <w:lastRenderedPageBreak/>
        <w:t xml:space="preserve">body could consist of representatives from PC, donor and CSOs, all of which would serve on a rotational basis. </w:t>
      </w:r>
      <w:r w:rsidR="007B6DC7">
        <w:rPr>
          <w:b w:val="0"/>
        </w:rPr>
        <w:t xml:space="preserve">There was a concern as to how independent the reviews would be if those are commissioned by donors. </w:t>
      </w:r>
      <w:r w:rsidR="003F6D1D">
        <w:rPr>
          <w:b w:val="0"/>
        </w:rPr>
        <w:t xml:space="preserve">Another point raised was what would be the consequences in case of non-compliance. </w:t>
      </w:r>
      <w:r>
        <w:rPr>
          <w:b w:val="0"/>
        </w:rPr>
        <w:t>PC also asked if the Code of Conduct would be signed by donors only or whether PC would also sign.</w:t>
      </w:r>
    </w:p>
    <w:p w:rsidR="00696898" w:rsidRPr="00696898" w:rsidRDefault="00696898" w:rsidP="00696898">
      <w:pPr>
        <w:pStyle w:val="ListParagraph"/>
        <w:rPr>
          <w:b w:val="0"/>
        </w:rPr>
      </w:pPr>
    </w:p>
    <w:p w:rsidR="001C02EC" w:rsidRDefault="00696898" w:rsidP="001C02EC">
      <w:pPr>
        <w:pStyle w:val="ListParagraph"/>
        <w:numPr>
          <w:ilvl w:val="0"/>
          <w:numId w:val="14"/>
        </w:numPr>
        <w:jc w:val="both"/>
        <w:rPr>
          <w:b w:val="0"/>
        </w:rPr>
      </w:pPr>
      <w:r w:rsidRPr="00696898">
        <w:t xml:space="preserve">Capacity constraints and needs of PC in relation to IATI: </w:t>
      </w:r>
      <w:r w:rsidR="007B6DC7" w:rsidRPr="00BE3DA6">
        <w:rPr>
          <w:b w:val="0"/>
        </w:rPr>
        <w:t xml:space="preserve">PC are </w:t>
      </w:r>
      <w:r w:rsidR="006C71F7" w:rsidRPr="00BE3DA6">
        <w:rPr>
          <w:b w:val="0"/>
        </w:rPr>
        <w:t>fully aware</w:t>
      </w:r>
      <w:r w:rsidR="007B6DC7" w:rsidRPr="00BE3DA6">
        <w:rPr>
          <w:b w:val="0"/>
        </w:rPr>
        <w:t xml:space="preserve"> </w:t>
      </w:r>
      <w:r w:rsidR="006C71F7" w:rsidRPr="00BE3DA6">
        <w:rPr>
          <w:b w:val="0"/>
        </w:rPr>
        <w:t xml:space="preserve">of </w:t>
      </w:r>
      <w:r w:rsidR="007B6DC7" w:rsidRPr="00BE3DA6">
        <w:rPr>
          <w:b w:val="0"/>
        </w:rPr>
        <w:t>their commitments to improve nat</w:t>
      </w:r>
      <w:r w:rsidR="006C71F7" w:rsidRPr="00BE3DA6">
        <w:rPr>
          <w:b w:val="0"/>
        </w:rPr>
        <w:t>ional systems. They are also fully aware of the constraints they face in meeting those commitments and in improving access to information, information flows, and transparency within governments, with parliaments, and citizens.</w:t>
      </w:r>
      <w:r w:rsidR="007B6DC7" w:rsidRPr="00BE3DA6">
        <w:rPr>
          <w:b w:val="0"/>
        </w:rPr>
        <w:t xml:space="preserve"> </w:t>
      </w:r>
      <w:r w:rsidR="006C71F7" w:rsidRPr="00BE3DA6">
        <w:rPr>
          <w:b w:val="0"/>
        </w:rPr>
        <w:t xml:space="preserve">There was an agreement that AIMs could </w:t>
      </w:r>
      <w:r w:rsidR="00BE3DA6" w:rsidRPr="00BE3DA6">
        <w:rPr>
          <w:b w:val="0"/>
        </w:rPr>
        <w:t>serve this purpose, however, many participants</w:t>
      </w:r>
      <w:r w:rsidR="006C71F7" w:rsidRPr="00BE3DA6">
        <w:rPr>
          <w:b w:val="0"/>
        </w:rPr>
        <w:t xml:space="preserve">, </w:t>
      </w:r>
      <w:r w:rsidR="00BE3DA6" w:rsidRPr="00BE3DA6">
        <w:rPr>
          <w:b w:val="0"/>
        </w:rPr>
        <w:t>a</w:t>
      </w:r>
      <w:r w:rsidR="006C71F7" w:rsidRPr="00BE3DA6">
        <w:rPr>
          <w:b w:val="0"/>
        </w:rPr>
        <w:t>lso call</w:t>
      </w:r>
      <w:r w:rsidR="00BE3DA6" w:rsidRPr="00BE3DA6">
        <w:rPr>
          <w:b w:val="0"/>
        </w:rPr>
        <w:t>ed</w:t>
      </w:r>
      <w:r w:rsidR="006C71F7" w:rsidRPr="00BE3DA6">
        <w:rPr>
          <w:b w:val="0"/>
        </w:rPr>
        <w:t xml:space="preserve"> for providing information to parliamentarians, CSOs and citizens </w:t>
      </w:r>
      <w:r w:rsidR="00CD3B5B" w:rsidRPr="00BE3DA6">
        <w:rPr>
          <w:b w:val="0"/>
        </w:rPr>
        <w:t xml:space="preserve">that would serve their particular needs and familiarity with </w:t>
      </w:r>
      <w:r w:rsidR="001C02EC" w:rsidRPr="00BE3DA6">
        <w:rPr>
          <w:b w:val="0"/>
        </w:rPr>
        <w:t xml:space="preserve">aid terminology/jargon. In many of the regions, there was a realization and </w:t>
      </w:r>
      <w:r w:rsidR="00BE3DA6" w:rsidRPr="00BE3DA6">
        <w:rPr>
          <w:b w:val="0"/>
        </w:rPr>
        <w:t xml:space="preserve">a </w:t>
      </w:r>
      <w:r w:rsidR="001C02EC" w:rsidRPr="00BE3DA6">
        <w:rPr>
          <w:b w:val="0"/>
        </w:rPr>
        <w:t>desire for more regional information sharing and coordination among partner countries on aid effectiveness issues and IATI.</w:t>
      </w:r>
      <w:r w:rsidR="001C02EC">
        <w:t xml:space="preserve"> </w:t>
      </w:r>
      <w:r w:rsidR="001C02EC" w:rsidRPr="00BE3DA6">
        <w:rPr>
          <w:b w:val="0"/>
        </w:rPr>
        <w:t>While the Asia-Pacific has such a mechanism</w:t>
      </w:r>
      <w:r w:rsidR="00BE3DA6">
        <w:rPr>
          <w:rStyle w:val="FootnoteReference"/>
          <w:b w:val="0"/>
        </w:rPr>
        <w:footnoteReference w:id="3"/>
      </w:r>
      <w:r w:rsidR="001C02EC" w:rsidRPr="00BE3DA6">
        <w:rPr>
          <w:b w:val="0"/>
        </w:rPr>
        <w:t xml:space="preserve">, participants in Amman, Accra and Santo Domingo concurred that they </w:t>
      </w:r>
      <w:r w:rsidR="00091DD7" w:rsidRPr="00BE3DA6">
        <w:rPr>
          <w:b w:val="0"/>
        </w:rPr>
        <w:t xml:space="preserve">also </w:t>
      </w:r>
      <w:r w:rsidR="001C02EC" w:rsidRPr="00BE3DA6">
        <w:rPr>
          <w:b w:val="0"/>
        </w:rPr>
        <w:t xml:space="preserve">need regional platforms and have </w:t>
      </w:r>
      <w:r w:rsidR="00091DD7" w:rsidRPr="00BE3DA6">
        <w:rPr>
          <w:b w:val="0"/>
        </w:rPr>
        <w:t>proposed</w:t>
      </w:r>
      <w:r w:rsidR="001C02EC" w:rsidRPr="00BE3DA6">
        <w:rPr>
          <w:b w:val="0"/>
        </w:rPr>
        <w:t xml:space="preserve"> to work with UNDP and other partners to support their establishment. </w:t>
      </w:r>
      <w:r w:rsidR="00BE3DA6" w:rsidRPr="00BE3DA6">
        <w:rPr>
          <w:b w:val="0"/>
        </w:rPr>
        <w:t xml:space="preserve">Codification and sharing of experiences in aid information and management, coordination, etc. and different related tools/modalities were identified by participants, such as case studies, best practices, lessons learnt, peer learning and exchanges, etc. </w:t>
      </w:r>
      <w:r w:rsidR="003F6D1D">
        <w:rPr>
          <w:b w:val="0"/>
        </w:rPr>
        <w:t xml:space="preserve">In Europe and CIS, there was a proposal for “roving experts” from the countries who could foster peer learning in the region. </w:t>
      </w:r>
      <w:r w:rsidR="00091DD7" w:rsidRPr="00BE3DA6">
        <w:rPr>
          <w:b w:val="0"/>
        </w:rPr>
        <w:t>Another</w:t>
      </w:r>
      <w:r w:rsidR="001C02EC" w:rsidRPr="00BE3DA6">
        <w:rPr>
          <w:b w:val="0"/>
        </w:rPr>
        <w:t xml:space="preserve"> proposal for taking IA</w:t>
      </w:r>
      <w:r w:rsidR="00091DD7" w:rsidRPr="00BE3DA6">
        <w:rPr>
          <w:b w:val="0"/>
        </w:rPr>
        <w:t>TI forward at the country level</w:t>
      </w:r>
      <w:r w:rsidR="001C02EC" w:rsidRPr="00BE3DA6">
        <w:rPr>
          <w:b w:val="0"/>
        </w:rPr>
        <w:t xml:space="preserve"> is to have </w:t>
      </w:r>
      <w:r w:rsidR="00091DD7" w:rsidRPr="00BE3DA6">
        <w:rPr>
          <w:b w:val="0"/>
        </w:rPr>
        <w:t xml:space="preserve">dedicated </w:t>
      </w:r>
      <w:r w:rsidR="001C02EC" w:rsidRPr="00BE3DA6">
        <w:rPr>
          <w:b w:val="0"/>
        </w:rPr>
        <w:t>focal points in the government</w:t>
      </w:r>
      <w:r w:rsidR="00091DD7" w:rsidRPr="00BE3DA6">
        <w:rPr>
          <w:b w:val="0"/>
        </w:rPr>
        <w:t>, as well as to hold country consultations around IATI</w:t>
      </w:r>
      <w:r w:rsidR="003F6D1D">
        <w:rPr>
          <w:b w:val="0"/>
        </w:rPr>
        <w:t xml:space="preserve"> (within government, between government and local donors, and </w:t>
      </w:r>
      <w:r w:rsidR="00573914">
        <w:rPr>
          <w:b w:val="0"/>
        </w:rPr>
        <w:t xml:space="preserve">with </w:t>
      </w:r>
      <w:r w:rsidR="003F6D1D">
        <w:rPr>
          <w:b w:val="0"/>
        </w:rPr>
        <w:t>other stakeholders)</w:t>
      </w:r>
      <w:r w:rsidR="00091DD7" w:rsidRPr="00BE3DA6">
        <w:rPr>
          <w:b w:val="0"/>
        </w:rPr>
        <w:t>. In terms of capacity development needs, PC would welcome support from IATI in strengthening local capacities to analyze and use improved aid information in planning, budgeting and decision-making. Participants in Kigali have also suggested the establishment of a dedicated fund for PC support to cover skills development and infrastructure improvements for AIMs.</w:t>
      </w:r>
      <w:r w:rsidR="00BE3DA6" w:rsidRPr="00BE3DA6">
        <w:rPr>
          <w:b w:val="0"/>
        </w:rPr>
        <w:t xml:space="preserve"> In the Asia-Pacific there was a request for capacity development support targeting parliamentarians. </w:t>
      </w:r>
      <w:r w:rsidR="003F6D1D">
        <w:rPr>
          <w:b w:val="0"/>
        </w:rPr>
        <w:t>Both in Montenegro and Accra participants called for broad outreach and communication to the general public.</w:t>
      </w:r>
      <w:r w:rsidR="00573914">
        <w:rPr>
          <w:b w:val="0"/>
        </w:rPr>
        <w:t xml:space="preserve"> However, PC also requested more clarity from IATI on the capacity development support it would be able to offer.</w:t>
      </w:r>
    </w:p>
    <w:p w:rsidR="00BE3DA6" w:rsidRPr="00BE3DA6" w:rsidRDefault="00BE3DA6" w:rsidP="00BE3DA6">
      <w:pPr>
        <w:pStyle w:val="ListParagraph"/>
        <w:jc w:val="both"/>
        <w:rPr>
          <w:b w:val="0"/>
        </w:rPr>
      </w:pPr>
    </w:p>
    <w:p w:rsidR="00696898" w:rsidRDefault="001C02EC" w:rsidP="00696898">
      <w:pPr>
        <w:pStyle w:val="ListParagraph"/>
        <w:numPr>
          <w:ilvl w:val="0"/>
          <w:numId w:val="14"/>
        </w:numPr>
        <w:jc w:val="both"/>
      </w:pPr>
      <w:r w:rsidRPr="00BE3DA6">
        <w:t>Conflict and post-conflict countries</w:t>
      </w:r>
      <w:r w:rsidR="00BE3DA6" w:rsidRPr="00BE3DA6">
        <w:t>:</w:t>
      </w:r>
      <w:r w:rsidR="00BE3DA6">
        <w:t xml:space="preserve"> </w:t>
      </w:r>
      <w:r w:rsidR="002F5C14" w:rsidRPr="002F5C14">
        <w:rPr>
          <w:b w:val="0"/>
        </w:rPr>
        <w:t>P</w:t>
      </w:r>
      <w:r w:rsidR="00BE3DA6">
        <w:rPr>
          <w:b w:val="0"/>
        </w:rPr>
        <w:t xml:space="preserve">articipants </w:t>
      </w:r>
      <w:r w:rsidR="00F3201D">
        <w:rPr>
          <w:b w:val="0"/>
        </w:rPr>
        <w:t>who</w:t>
      </w:r>
      <w:r w:rsidR="00BE3DA6">
        <w:rPr>
          <w:b w:val="0"/>
        </w:rPr>
        <w:t xml:space="preserve"> deliberated on the experiences of these countries </w:t>
      </w:r>
      <w:r w:rsidR="00F3201D">
        <w:rPr>
          <w:b w:val="0"/>
        </w:rPr>
        <w:t xml:space="preserve">have concurred that the aid information needs are not different, but rather exacerbated due to weak capacity of national institutions to collect and analyze data, as well as to ensure compliance with reporting requirements. </w:t>
      </w:r>
      <w:r w:rsidR="00840528">
        <w:rPr>
          <w:b w:val="0"/>
        </w:rPr>
        <w:t xml:space="preserve">Humanitarian assistance does have prominence in such contexts, as well as aid channeled through NGOs. The fragmentation of aid information is further aggravated since most aid does not come through the national budget, </w:t>
      </w:r>
      <w:r w:rsidR="00840528">
        <w:rPr>
          <w:b w:val="0"/>
        </w:rPr>
        <w:lastRenderedPageBreak/>
        <w:t>nor is on budget. Mutual accountability is hard to pursue in such contexts, therefore having the IATI standard and a robust Code of Conduct would be highly beneficial. A number of post-conflict countries are putting in place AIMs</w:t>
      </w:r>
      <w:r w:rsidR="002F5C14">
        <w:rPr>
          <w:b w:val="0"/>
        </w:rPr>
        <w:t xml:space="preserve"> and this has proven positive, albeit the </w:t>
      </w:r>
      <w:r w:rsidR="00573914">
        <w:rPr>
          <w:b w:val="0"/>
        </w:rPr>
        <w:t>difficulties</w:t>
      </w:r>
      <w:r w:rsidR="002F5C14">
        <w:rPr>
          <w:b w:val="0"/>
        </w:rPr>
        <w:t xml:space="preserve"> of operating these systems without full reporting compliance, </w:t>
      </w:r>
      <w:r w:rsidR="00573914">
        <w:rPr>
          <w:b w:val="0"/>
        </w:rPr>
        <w:t xml:space="preserve">adequate </w:t>
      </w:r>
      <w:r w:rsidR="002F5C14">
        <w:rPr>
          <w:b w:val="0"/>
        </w:rPr>
        <w:t>infrastructure and lack of trained personnel</w:t>
      </w:r>
      <w:r w:rsidR="00573914">
        <w:rPr>
          <w:b w:val="0"/>
        </w:rPr>
        <w:t>, among other constraints</w:t>
      </w:r>
      <w:r w:rsidR="002F5C14">
        <w:rPr>
          <w:b w:val="0"/>
        </w:rPr>
        <w:t>.</w:t>
      </w:r>
    </w:p>
    <w:p w:rsidR="00DA7CE9" w:rsidRPr="00B94B76" w:rsidRDefault="00DA7CE9" w:rsidP="00DA7CE9">
      <w:pPr>
        <w:pStyle w:val="ListParagraph"/>
        <w:jc w:val="both"/>
      </w:pPr>
    </w:p>
    <w:p w:rsidR="00C3739B" w:rsidRDefault="00C3739B" w:rsidP="00C3739B">
      <w:pPr>
        <w:pStyle w:val="ListParagraph"/>
        <w:numPr>
          <w:ilvl w:val="0"/>
          <w:numId w:val="11"/>
        </w:numPr>
        <w:jc w:val="both"/>
      </w:pPr>
      <w:r w:rsidRPr="00C3739B">
        <w:t>Next steps:</w:t>
      </w:r>
    </w:p>
    <w:p w:rsidR="00263AA1" w:rsidRPr="00263AA1" w:rsidRDefault="00263AA1" w:rsidP="00263AA1">
      <w:pPr>
        <w:jc w:val="both"/>
        <w:rPr>
          <w:b w:val="0"/>
        </w:rPr>
      </w:pPr>
      <w:r w:rsidRPr="00263AA1">
        <w:rPr>
          <w:b w:val="0"/>
        </w:rPr>
        <w:t xml:space="preserve">The </w:t>
      </w:r>
      <w:r>
        <w:rPr>
          <w:b w:val="0"/>
        </w:rPr>
        <w:t xml:space="preserve">list of next steps proposed below stems from the key concerns expressed by PC at the consultations. Members of the Steering Committee are invited to provide comments/suggestions </w:t>
      </w:r>
      <w:r w:rsidR="002F5C14">
        <w:rPr>
          <w:b w:val="0"/>
        </w:rPr>
        <w:t xml:space="preserve">in light </w:t>
      </w:r>
      <w:r>
        <w:rPr>
          <w:b w:val="0"/>
        </w:rPr>
        <w:t xml:space="preserve">of improving them and </w:t>
      </w:r>
      <w:r w:rsidR="00342570">
        <w:rPr>
          <w:b w:val="0"/>
        </w:rPr>
        <w:t>allowing</w:t>
      </w:r>
      <w:r>
        <w:rPr>
          <w:b w:val="0"/>
        </w:rPr>
        <w:t xml:space="preserve"> the Secretariat to </w:t>
      </w:r>
      <w:r w:rsidR="002F5C14">
        <w:rPr>
          <w:b w:val="0"/>
        </w:rPr>
        <w:t>develop the proposals</w:t>
      </w:r>
      <w:r w:rsidR="00342570">
        <w:rPr>
          <w:b w:val="0"/>
        </w:rPr>
        <w:t>:</w:t>
      </w:r>
    </w:p>
    <w:p w:rsidR="00EC3EE7" w:rsidRDefault="00EC3EE7" w:rsidP="00EC3EE7">
      <w:pPr>
        <w:pStyle w:val="ListParagraph"/>
        <w:numPr>
          <w:ilvl w:val="1"/>
          <w:numId w:val="11"/>
        </w:numPr>
        <w:jc w:val="both"/>
        <w:rPr>
          <w:b w:val="0"/>
        </w:rPr>
      </w:pPr>
      <w:r w:rsidRPr="00263AA1">
        <w:rPr>
          <w:b w:val="0"/>
        </w:rPr>
        <w:t>IATI Secretariat to prepare with UNDP’s lead, and IATI Steering Committee to endorse an outreach strategy for PC following the first round of regional consultations and the IATI Conference in The Hague.</w:t>
      </w:r>
    </w:p>
    <w:p w:rsidR="00F24B39" w:rsidRPr="00263AA1" w:rsidRDefault="00AC6DD9" w:rsidP="00EC3EE7">
      <w:pPr>
        <w:pStyle w:val="ListParagraph"/>
        <w:numPr>
          <w:ilvl w:val="1"/>
          <w:numId w:val="11"/>
        </w:numPr>
        <w:jc w:val="both"/>
        <w:rPr>
          <w:b w:val="0"/>
        </w:rPr>
      </w:pPr>
      <w:r>
        <w:rPr>
          <w:b w:val="0"/>
        </w:rPr>
        <w:t>TAG with UNDP’s support to advance in defining capacity development strategy in response to PC needs in the implementati</w:t>
      </w:r>
      <w:r w:rsidR="004C48E2">
        <w:rPr>
          <w:b w:val="0"/>
        </w:rPr>
        <w:t>on and use of the IATI standard</w:t>
      </w:r>
      <w:r>
        <w:rPr>
          <w:b w:val="0"/>
        </w:rPr>
        <w:t xml:space="preserve"> and Code of Conduct at the country level.</w:t>
      </w:r>
    </w:p>
    <w:p w:rsidR="00EC3EE7" w:rsidRDefault="00EC3EE7" w:rsidP="00263AA1">
      <w:pPr>
        <w:pStyle w:val="ListParagraph"/>
        <w:numPr>
          <w:ilvl w:val="1"/>
          <w:numId w:val="11"/>
        </w:numPr>
        <w:jc w:val="both"/>
        <w:rPr>
          <w:b w:val="0"/>
        </w:rPr>
      </w:pPr>
      <w:r w:rsidRPr="00EC3EE7">
        <w:rPr>
          <w:b w:val="0"/>
        </w:rPr>
        <w:t>IATI Secretariat to prepare and IATI Steering Committee to endorse, a strategy for engagemen</w:t>
      </w:r>
      <w:r>
        <w:rPr>
          <w:b w:val="0"/>
        </w:rPr>
        <w:t>t with OECD/DAC and non-DAC donors.</w:t>
      </w:r>
    </w:p>
    <w:p w:rsidR="007B6DC7" w:rsidRDefault="007B6DC7" w:rsidP="00263AA1">
      <w:pPr>
        <w:pStyle w:val="ListParagraph"/>
        <w:numPr>
          <w:ilvl w:val="1"/>
          <w:numId w:val="11"/>
        </w:numPr>
        <w:jc w:val="both"/>
        <w:rPr>
          <w:b w:val="0"/>
        </w:rPr>
      </w:pPr>
      <w:r>
        <w:rPr>
          <w:b w:val="0"/>
        </w:rPr>
        <w:t>IATI Secretariat to prepare and Steering Committee to approve a calendar for IATI leading up to the HLF IV.</w:t>
      </w:r>
    </w:p>
    <w:p w:rsidR="00696898" w:rsidRDefault="00696898">
      <w:pPr>
        <w:rPr>
          <w:b w:val="0"/>
        </w:rPr>
      </w:pPr>
      <w:r>
        <w:rPr>
          <w:b w:val="0"/>
        </w:rPr>
        <w:br w:type="page"/>
      </w:r>
    </w:p>
    <w:p w:rsidR="001A1D3F" w:rsidRDefault="001A1D3F" w:rsidP="002C7077">
      <w:pPr>
        <w:jc w:val="both"/>
      </w:pPr>
      <w:r>
        <w:lastRenderedPageBreak/>
        <w:t>Annex 1</w:t>
      </w:r>
      <w:r w:rsidR="00FB6D60">
        <w:t xml:space="preserve"> - </w:t>
      </w:r>
      <w:r>
        <w:t>List of Partner Countries governments, which took part in the IATI regional/sub-regional consultations:</w:t>
      </w:r>
    </w:p>
    <w:p w:rsidR="001A1D3F" w:rsidRPr="00F1626F" w:rsidRDefault="001A1D3F" w:rsidP="001A1D3F">
      <w:pPr>
        <w:pBdr>
          <w:bottom w:val="single" w:sz="4" w:space="1" w:color="auto"/>
        </w:pBdr>
        <w:jc w:val="both"/>
      </w:pPr>
      <w:r w:rsidRPr="00F1626F">
        <w:t>Region/sub-region:</w:t>
      </w:r>
      <w:r w:rsidRPr="00F1626F">
        <w:tab/>
        <w:t>Da</w:t>
      </w:r>
      <w:r>
        <w:t>tes:</w:t>
      </w:r>
      <w:r>
        <w:tab/>
      </w:r>
      <w:r>
        <w:tab/>
      </w:r>
      <w:r>
        <w:tab/>
        <w:t>Host Partner Country:</w:t>
      </w:r>
      <w:r>
        <w:tab/>
      </w:r>
      <w:r>
        <w:tab/>
      </w:r>
      <w:r w:rsidRPr="00F1626F">
        <w:t>Number of PC</w:t>
      </w:r>
      <w:r>
        <w:t xml:space="preserve"> GoV</w:t>
      </w:r>
      <w:r w:rsidRPr="00F1626F">
        <w:t>:</w:t>
      </w:r>
    </w:p>
    <w:p w:rsidR="001A1D3F" w:rsidRPr="00DA53DC" w:rsidRDefault="001A1D3F" w:rsidP="001A1D3F">
      <w:pPr>
        <w:jc w:val="both"/>
      </w:pPr>
      <w:r w:rsidRPr="00DA53DC">
        <w:rPr>
          <w:i/>
        </w:rPr>
        <w:t>Eastern and</w:t>
      </w:r>
      <w:r w:rsidRPr="00DA53DC">
        <w:rPr>
          <w:i/>
        </w:rPr>
        <w:tab/>
      </w:r>
      <w:r w:rsidRPr="00DA53DC">
        <w:tab/>
        <w:t>29-30 June 2009</w:t>
      </w:r>
      <w:r w:rsidRPr="00DA53DC">
        <w:tab/>
        <w:t>Rwanda</w:t>
      </w:r>
      <w:r w:rsidRPr="00DA53DC">
        <w:tab/>
      </w:r>
      <w:r w:rsidRPr="00DA53DC">
        <w:tab/>
      </w:r>
      <w:r w:rsidRPr="00DA53DC">
        <w:tab/>
      </w:r>
      <w:r w:rsidRPr="00DA53DC">
        <w:tab/>
      </w:r>
      <w:r w:rsidRPr="00DA53DC">
        <w:tab/>
        <w:t>11</w:t>
      </w:r>
    </w:p>
    <w:p w:rsidR="001A1D3F" w:rsidRPr="00DA53DC" w:rsidRDefault="001A1D3F" w:rsidP="00DA53DC">
      <w:pPr>
        <w:pBdr>
          <w:bottom w:val="single" w:sz="4" w:space="1" w:color="auto"/>
        </w:pBdr>
        <w:jc w:val="both"/>
        <w:rPr>
          <w:i/>
        </w:rPr>
      </w:pPr>
      <w:r w:rsidRPr="00DA53DC">
        <w:rPr>
          <w:i/>
        </w:rPr>
        <w:t>Southern Africa</w:t>
      </w:r>
    </w:p>
    <w:p w:rsidR="001A1D3F" w:rsidRPr="001A1D3F" w:rsidRDefault="001A1D3F" w:rsidP="001A1D3F">
      <w:pPr>
        <w:pStyle w:val="ListParagraph"/>
        <w:numPr>
          <w:ilvl w:val="0"/>
          <w:numId w:val="5"/>
        </w:numPr>
        <w:jc w:val="both"/>
        <w:rPr>
          <w:b w:val="0"/>
        </w:rPr>
      </w:pPr>
      <w:r w:rsidRPr="001A1D3F">
        <w:rPr>
          <w:b w:val="0"/>
        </w:rPr>
        <w:t>Burundi</w:t>
      </w:r>
    </w:p>
    <w:p w:rsidR="001A1D3F" w:rsidRPr="001A1D3F" w:rsidRDefault="001A1D3F" w:rsidP="001A1D3F">
      <w:pPr>
        <w:pStyle w:val="ListParagraph"/>
        <w:numPr>
          <w:ilvl w:val="0"/>
          <w:numId w:val="5"/>
        </w:numPr>
        <w:jc w:val="both"/>
        <w:rPr>
          <w:b w:val="0"/>
        </w:rPr>
      </w:pPr>
      <w:r w:rsidRPr="001A1D3F">
        <w:rPr>
          <w:b w:val="0"/>
        </w:rPr>
        <w:t>Comoros</w:t>
      </w:r>
    </w:p>
    <w:p w:rsidR="001A1D3F" w:rsidRPr="001A1D3F" w:rsidRDefault="001A1D3F" w:rsidP="001A1D3F">
      <w:pPr>
        <w:pStyle w:val="ListParagraph"/>
        <w:numPr>
          <w:ilvl w:val="0"/>
          <w:numId w:val="5"/>
        </w:numPr>
        <w:jc w:val="both"/>
        <w:rPr>
          <w:b w:val="0"/>
        </w:rPr>
      </w:pPr>
      <w:r w:rsidRPr="001A1D3F">
        <w:rPr>
          <w:b w:val="0"/>
        </w:rPr>
        <w:t>Democratic Republic of Congo</w:t>
      </w:r>
    </w:p>
    <w:p w:rsidR="001A1D3F" w:rsidRPr="001A1D3F" w:rsidRDefault="001A1D3F" w:rsidP="001A1D3F">
      <w:pPr>
        <w:pStyle w:val="ListParagraph"/>
        <w:numPr>
          <w:ilvl w:val="0"/>
          <w:numId w:val="5"/>
        </w:numPr>
        <w:jc w:val="both"/>
        <w:rPr>
          <w:b w:val="0"/>
        </w:rPr>
      </w:pPr>
      <w:r w:rsidRPr="001A1D3F">
        <w:rPr>
          <w:b w:val="0"/>
        </w:rPr>
        <w:t>Malawi</w:t>
      </w:r>
    </w:p>
    <w:p w:rsidR="001A1D3F" w:rsidRPr="001A1D3F" w:rsidRDefault="001A1D3F" w:rsidP="001A1D3F">
      <w:pPr>
        <w:pStyle w:val="ListParagraph"/>
        <w:numPr>
          <w:ilvl w:val="0"/>
          <w:numId w:val="5"/>
        </w:numPr>
        <w:jc w:val="both"/>
        <w:rPr>
          <w:b w:val="0"/>
        </w:rPr>
      </w:pPr>
      <w:r w:rsidRPr="001A1D3F">
        <w:rPr>
          <w:b w:val="0"/>
        </w:rPr>
        <w:t>Mauritius</w:t>
      </w:r>
    </w:p>
    <w:p w:rsidR="001A1D3F" w:rsidRPr="001A1D3F" w:rsidRDefault="001A1D3F" w:rsidP="001A1D3F">
      <w:pPr>
        <w:pStyle w:val="ListParagraph"/>
        <w:numPr>
          <w:ilvl w:val="0"/>
          <w:numId w:val="5"/>
        </w:numPr>
        <w:jc w:val="both"/>
        <w:rPr>
          <w:b w:val="0"/>
        </w:rPr>
      </w:pPr>
      <w:r w:rsidRPr="001A1D3F">
        <w:rPr>
          <w:b w:val="0"/>
        </w:rPr>
        <w:t>Namibia</w:t>
      </w:r>
    </w:p>
    <w:p w:rsidR="001A1D3F" w:rsidRPr="001A1D3F" w:rsidRDefault="001A1D3F" w:rsidP="001A1D3F">
      <w:pPr>
        <w:pStyle w:val="ListParagraph"/>
        <w:numPr>
          <w:ilvl w:val="0"/>
          <w:numId w:val="5"/>
        </w:numPr>
        <w:jc w:val="both"/>
        <w:rPr>
          <w:b w:val="0"/>
        </w:rPr>
      </w:pPr>
      <w:r w:rsidRPr="001A1D3F">
        <w:rPr>
          <w:b w:val="0"/>
        </w:rPr>
        <w:t>Rwanda</w:t>
      </w:r>
    </w:p>
    <w:p w:rsidR="001A1D3F" w:rsidRPr="001A1D3F" w:rsidRDefault="001A1D3F" w:rsidP="001A1D3F">
      <w:pPr>
        <w:pStyle w:val="ListParagraph"/>
        <w:numPr>
          <w:ilvl w:val="0"/>
          <w:numId w:val="5"/>
        </w:numPr>
        <w:jc w:val="both"/>
        <w:rPr>
          <w:b w:val="0"/>
        </w:rPr>
      </w:pPr>
      <w:r w:rsidRPr="001A1D3F">
        <w:rPr>
          <w:b w:val="0"/>
        </w:rPr>
        <w:t>South Sudan</w:t>
      </w:r>
    </w:p>
    <w:p w:rsidR="001A1D3F" w:rsidRPr="001A1D3F" w:rsidRDefault="001A1D3F" w:rsidP="001A1D3F">
      <w:pPr>
        <w:pStyle w:val="ListParagraph"/>
        <w:numPr>
          <w:ilvl w:val="0"/>
          <w:numId w:val="5"/>
        </w:numPr>
        <w:jc w:val="both"/>
        <w:rPr>
          <w:b w:val="0"/>
        </w:rPr>
      </w:pPr>
      <w:r w:rsidRPr="001A1D3F">
        <w:rPr>
          <w:b w:val="0"/>
        </w:rPr>
        <w:t>Sudan</w:t>
      </w:r>
    </w:p>
    <w:p w:rsidR="001A1D3F" w:rsidRPr="001A1D3F" w:rsidRDefault="001A1D3F" w:rsidP="001A1D3F">
      <w:pPr>
        <w:pStyle w:val="ListParagraph"/>
        <w:numPr>
          <w:ilvl w:val="0"/>
          <w:numId w:val="5"/>
        </w:numPr>
        <w:jc w:val="both"/>
        <w:rPr>
          <w:b w:val="0"/>
        </w:rPr>
      </w:pPr>
      <w:r w:rsidRPr="001A1D3F">
        <w:rPr>
          <w:b w:val="0"/>
        </w:rPr>
        <w:t>Swaziland</w:t>
      </w:r>
    </w:p>
    <w:p w:rsidR="001A1D3F" w:rsidRDefault="001A1D3F" w:rsidP="001A1D3F">
      <w:pPr>
        <w:pStyle w:val="ListParagraph"/>
        <w:numPr>
          <w:ilvl w:val="0"/>
          <w:numId w:val="5"/>
        </w:numPr>
        <w:jc w:val="both"/>
        <w:rPr>
          <w:b w:val="0"/>
        </w:rPr>
      </w:pPr>
      <w:r w:rsidRPr="001A1D3F">
        <w:rPr>
          <w:b w:val="0"/>
        </w:rPr>
        <w:t>Tanzania</w:t>
      </w:r>
    </w:p>
    <w:p w:rsidR="001A1D3F" w:rsidRPr="00DA53DC" w:rsidRDefault="001A1D3F" w:rsidP="00DA53DC">
      <w:pPr>
        <w:pBdr>
          <w:bottom w:val="single" w:sz="4" w:space="1" w:color="auto"/>
        </w:pBdr>
        <w:jc w:val="both"/>
      </w:pPr>
      <w:r w:rsidRPr="00DA53DC">
        <w:rPr>
          <w:i/>
        </w:rPr>
        <w:t>Europe and CIS</w:t>
      </w:r>
      <w:r w:rsidRPr="00DA53DC">
        <w:tab/>
      </w:r>
      <w:r w:rsidRPr="00DA53DC">
        <w:tab/>
        <w:t>6-7 July 2009</w:t>
      </w:r>
      <w:r w:rsidRPr="00DA53DC">
        <w:tab/>
      </w:r>
      <w:r w:rsidRPr="00DA53DC">
        <w:tab/>
        <w:t>Montenegro</w:t>
      </w:r>
      <w:r w:rsidRPr="00DA53DC">
        <w:tab/>
      </w:r>
      <w:r w:rsidRPr="00DA53DC">
        <w:tab/>
      </w:r>
      <w:r w:rsidRPr="00DA53DC">
        <w:tab/>
      </w:r>
      <w:r w:rsidRPr="00DA53DC">
        <w:tab/>
      </w:r>
      <w:r w:rsidR="00DA53DC">
        <w:tab/>
      </w:r>
      <w:r w:rsidRPr="00DA53DC">
        <w:t>9</w:t>
      </w:r>
    </w:p>
    <w:p w:rsidR="00DA53DC" w:rsidRDefault="00DA53DC" w:rsidP="001A1D3F">
      <w:pPr>
        <w:pStyle w:val="ListParagraph"/>
        <w:numPr>
          <w:ilvl w:val="0"/>
          <w:numId w:val="6"/>
        </w:numPr>
        <w:jc w:val="both"/>
        <w:rPr>
          <w:b w:val="0"/>
        </w:rPr>
      </w:pPr>
      <w:r>
        <w:rPr>
          <w:b w:val="0"/>
        </w:rPr>
        <w:t>Albania</w:t>
      </w:r>
    </w:p>
    <w:p w:rsidR="001A1D3F" w:rsidRPr="001A1D3F" w:rsidRDefault="001A1D3F" w:rsidP="001A1D3F">
      <w:pPr>
        <w:pStyle w:val="ListParagraph"/>
        <w:numPr>
          <w:ilvl w:val="0"/>
          <w:numId w:val="6"/>
        </w:numPr>
        <w:jc w:val="both"/>
        <w:rPr>
          <w:b w:val="0"/>
        </w:rPr>
      </w:pPr>
      <w:r w:rsidRPr="001A1D3F">
        <w:rPr>
          <w:b w:val="0"/>
        </w:rPr>
        <w:t>Armenia</w:t>
      </w:r>
    </w:p>
    <w:p w:rsidR="001A1D3F" w:rsidRPr="001A1D3F" w:rsidRDefault="001A1D3F" w:rsidP="001A1D3F">
      <w:pPr>
        <w:pStyle w:val="ListParagraph"/>
        <w:numPr>
          <w:ilvl w:val="0"/>
          <w:numId w:val="6"/>
        </w:numPr>
        <w:jc w:val="both"/>
        <w:rPr>
          <w:b w:val="0"/>
        </w:rPr>
      </w:pPr>
      <w:r w:rsidRPr="001A1D3F">
        <w:rPr>
          <w:b w:val="0"/>
        </w:rPr>
        <w:t>Bosnia and Herzegovina</w:t>
      </w:r>
    </w:p>
    <w:p w:rsidR="001A1D3F" w:rsidRPr="001A1D3F" w:rsidRDefault="001A1D3F" w:rsidP="001A1D3F">
      <w:pPr>
        <w:pStyle w:val="ListParagraph"/>
        <w:numPr>
          <w:ilvl w:val="0"/>
          <w:numId w:val="6"/>
        </w:numPr>
        <w:jc w:val="both"/>
        <w:rPr>
          <w:b w:val="0"/>
        </w:rPr>
      </w:pPr>
      <w:r w:rsidRPr="001A1D3F">
        <w:rPr>
          <w:b w:val="0"/>
        </w:rPr>
        <w:t>Georgia</w:t>
      </w:r>
    </w:p>
    <w:p w:rsidR="001A1D3F" w:rsidRPr="001A1D3F" w:rsidRDefault="001A1D3F" w:rsidP="001A1D3F">
      <w:pPr>
        <w:pStyle w:val="ListParagraph"/>
        <w:numPr>
          <w:ilvl w:val="0"/>
          <w:numId w:val="6"/>
        </w:numPr>
        <w:jc w:val="both"/>
        <w:rPr>
          <w:b w:val="0"/>
        </w:rPr>
      </w:pPr>
      <w:r w:rsidRPr="001A1D3F">
        <w:rPr>
          <w:b w:val="0"/>
        </w:rPr>
        <w:t>Kosovo 1244 RSC</w:t>
      </w:r>
    </w:p>
    <w:p w:rsidR="001A1D3F" w:rsidRPr="001A1D3F" w:rsidRDefault="001A1D3F" w:rsidP="001A1D3F">
      <w:pPr>
        <w:pStyle w:val="ListParagraph"/>
        <w:numPr>
          <w:ilvl w:val="0"/>
          <w:numId w:val="6"/>
        </w:numPr>
        <w:jc w:val="both"/>
        <w:rPr>
          <w:b w:val="0"/>
        </w:rPr>
      </w:pPr>
      <w:r w:rsidRPr="001A1D3F">
        <w:rPr>
          <w:b w:val="0"/>
        </w:rPr>
        <w:t>Kyrgyzstan</w:t>
      </w:r>
    </w:p>
    <w:p w:rsidR="001A1D3F" w:rsidRPr="001A1D3F" w:rsidRDefault="001A1D3F" w:rsidP="001A1D3F">
      <w:pPr>
        <w:pStyle w:val="ListParagraph"/>
        <w:numPr>
          <w:ilvl w:val="0"/>
          <w:numId w:val="6"/>
        </w:numPr>
        <w:jc w:val="both"/>
        <w:rPr>
          <w:b w:val="0"/>
        </w:rPr>
      </w:pPr>
      <w:r w:rsidRPr="001A1D3F">
        <w:rPr>
          <w:b w:val="0"/>
        </w:rPr>
        <w:t>Montenegro</w:t>
      </w:r>
    </w:p>
    <w:p w:rsidR="001A1D3F" w:rsidRPr="001A1D3F" w:rsidRDefault="001A1D3F" w:rsidP="001A1D3F">
      <w:pPr>
        <w:pStyle w:val="ListParagraph"/>
        <w:numPr>
          <w:ilvl w:val="0"/>
          <w:numId w:val="6"/>
        </w:numPr>
        <w:jc w:val="both"/>
        <w:rPr>
          <w:b w:val="0"/>
        </w:rPr>
      </w:pPr>
      <w:r w:rsidRPr="001A1D3F">
        <w:rPr>
          <w:b w:val="0"/>
        </w:rPr>
        <w:t>Ukraine</w:t>
      </w:r>
    </w:p>
    <w:p w:rsidR="001A1D3F" w:rsidRDefault="001A1D3F" w:rsidP="001A1D3F">
      <w:pPr>
        <w:pStyle w:val="ListParagraph"/>
        <w:numPr>
          <w:ilvl w:val="0"/>
          <w:numId w:val="6"/>
        </w:numPr>
        <w:jc w:val="both"/>
        <w:rPr>
          <w:b w:val="0"/>
        </w:rPr>
      </w:pPr>
      <w:r w:rsidRPr="001A1D3F">
        <w:rPr>
          <w:b w:val="0"/>
        </w:rPr>
        <w:t>Uzbekistan</w:t>
      </w:r>
    </w:p>
    <w:p w:rsidR="009C75E9" w:rsidRPr="009C75E9" w:rsidRDefault="009C75E9" w:rsidP="009C75E9">
      <w:pPr>
        <w:pBdr>
          <w:bottom w:val="single" w:sz="4" w:space="1" w:color="auto"/>
        </w:pBdr>
        <w:jc w:val="both"/>
      </w:pPr>
      <w:r w:rsidRPr="009C75E9">
        <w:rPr>
          <w:i/>
        </w:rPr>
        <w:t>Arab States</w:t>
      </w:r>
      <w:r w:rsidRPr="009C75E9">
        <w:tab/>
      </w:r>
      <w:r w:rsidRPr="009C75E9">
        <w:tab/>
        <w:t>12-13 August 2009</w:t>
      </w:r>
      <w:r w:rsidRPr="009C75E9">
        <w:tab/>
        <w:t>Jordan</w:t>
      </w:r>
      <w:r w:rsidRPr="009C75E9">
        <w:tab/>
      </w:r>
      <w:r w:rsidRPr="009C75E9">
        <w:tab/>
      </w:r>
      <w:r w:rsidRPr="009C75E9">
        <w:tab/>
      </w:r>
      <w:r w:rsidRPr="009C75E9">
        <w:tab/>
      </w:r>
      <w:r w:rsidRPr="009C75E9">
        <w:tab/>
      </w:r>
      <w:r>
        <w:tab/>
      </w:r>
      <w:r w:rsidRPr="009C75E9">
        <w:t>9</w:t>
      </w:r>
    </w:p>
    <w:p w:rsidR="00696898" w:rsidRPr="00696898" w:rsidRDefault="009C75E9" w:rsidP="00696898">
      <w:pPr>
        <w:pStyle w:val="ListParagraph"/>
        <w:numPr>
          <w:ilvl w:val="0"/>
          <w:numId w:val="17"/>
        </w:numPr>
        <w:jc w:val="both"/>
        <w:rPr>
          <w:b w:val="0"/>
        </w:rPr>
      </w:pPr>
      <w:r w:rsidRPr="00696898">
        <w:rPr>
          <w:b w:val="0"/>
        </w:rPr>
        <w:t>Algeria</w:t>
      </w:r>
      <w:r w:rsidR="00696898" w:rsidRPr="00696898">
        <w:rPr>
          <w:b w:val="0"/>
        </w:rPr>
        <w:t xml:space="preserve"> </w:t>
      </w:r>
      <w:r w:rsidR="00696898">
        <w:rPr>
          <w:b w:val="0"/>
        </w:rPr>
        <w:tab/>
      </w:r>
      <w:r w:rsidR="00696898">
        <w:rPr>
          <w:b w:val="0"/>
        </w:rPr>
        <w:tab/>
      </w:r>
    </w:p>
    <w:p w:rsidR="00696898" w:rsidRPr="00696898" w:rsidRDefault="009C75E9" w:rsidP="00696898">
      <w:pPr>
        <w:pStyle w:val="ListParagraph"/>
        <w:numPr>
          <w:ilvl w:val="0"/>
          <w:numId w:val="17"/>
        </w:numPr>
        <w:jc w:val="both"/>
        <w:rPr>
          <w:b w:val="0"/>
        </w:rPr>
      </w:pPr>
      <w:r w:rsidRPr="00696898">
        <w:rPr>
          <w:b w:val="0"/>
        </w:rPr>
        <w:t>Djibouti</w:t>
      </w:r>
      <w:r w:rsidR="00696898">
        <w:rPr>
          <w:b w:val="0"/>
        </w:rPr>
        <w:tab/>
      </w:r>
      <w:r w:rsidR="00696898" w:rsidRPr="00696898">
        <w:rPr>
          <w:b w:val="0"/>
        </w:rPr>
        <w:t xml:space="preserve"> </w:t>
      </w:r>
      <w:r w:rsidR="00696898">
        <w:rPr>
          <w:b w:val="0"/>
        </w:rPr>
        <w:tab/>
      </w:r>
    </w:p>
    <w:p w:rsidR="009C75E9" w:rsidRPr="00696898" w:rsidRDefault="009C75E9" w:rsidP="00696898">
      <w:pPr>
        <w:pStyle w:val="ListParagraph"/>
        <w:numPr>
          <w:ilvl w:val="0"/>
          <w:numId w:val="17"/>
        </w:numPr>
        <w:jc w:val="both"/>
        <w:rPr>
          <w:b w:val="0"/>
        </w:rPr>
      </w:pPr>
      <w:r w:rsidRPr="00696898">
        <w:rPr>
          <w:b w:val="0"/>
        </w:rPr>
        <w:t>Iraq</w:t>
      </w:r>
    </w:p>
    <w:p w:rsidR="009C75E9" w:rsidRPr="00696898" w:rsidRDefault="009C75E9" w:rsidP="00696898">
      <w:pPr>
        <w:pStyle w:val="ListParagraph"/>
        <w:numPr>
          <w:ilvl w:val="0"/>
          <w:numId w:val="17"/>
        </w:numPr>
        <w:jc w:val="both"/>
        <w:rPr>
          <w:b w:val="0"/>
        </w:rPr>
      </w:pPr>
      <w:r w:rsidRPr="00696898">
        <w:rPr>
          <w:b w:val="0"/>
        </w:rPr>
        <w:t>Jordan</w:t>
      </w:r>
    </w:p>
    <w:p w:rsidR="009C75E9" w:rsidRPr="00696898" w:rsidRDefault="009C75E9" w:rsidP="00696898">
      <w:pPr>
        <w:pStyle w:val="ListParagraph"/>
        <w:numPr>
          <w:ilvl w:val="0"/>
          <w:numId w:val="17"/>
        </w:numPr>
        <w:jc w:val="both"/>
        <w:rPr>
          <w:b w:val="0"/>
        </w:rPr>
      </w:pPr>
      <w:r w:rsidRPr="00696898">
        <w:rPr>
          <w:b w:val="0"/>
        </w:rPr>
        <w:t>Lebanon</w:t>
      </w:r>
    </w:p>
    <w:p w:rsidR="009C75E9" w:rsidRPr="00696898" w:rsidRDefault="009C75E9" w:rsidP="00696898">
      <w:pPr>
        <w:pStyle w:val="ListParagraph"/>
        <w:numPr>
          <w:ilvl w:val="0"/>
          <w:numId w:val="17"/>
        </w:numPr>
        <w:jc w:val="both"/>
        <w:rPr>
          <w:b w:val="0"/>
        </w:rPr>
      </w:pPr>
      <w:r w:rsidRPr="00696898">
        <w:rPr>
          <w:b w:val="0"/>
        </w:rPr>
        <w:t>Libya</w:t>
      </w:r>
    </w:p>
    <w:p w:rsidR="009C75E9" w:rsidRDefault="009C75E9" w:rsidP="00696898">
      <w:pPr>
        <w:pStyle w:val="ListParagraph"/>
        <w:numPr>
          <w:ilvl w:val="0"/>
          <w:numId w:val="17"/>
        </w:numPr>
        <w:jc w:val="both"/>
        <w:rPr>
          <w:b w:val="0"/>
        </w:rPr>
      </w:pPr>
      <w:r w:rsidRPr="00696898">
        <w:rPr>
          <w:b w:val="0"/>
        </w:rPr>
        <w:t>Morocco</w:t>
      </w:r>
    </w:p>
    <w:p w:rsidR="00696898" w:rsidRDefault="00696898" w:rsidP="00696898">
      <w:pPr>
        <w:pStyle w:val="ListParagraph"/>
        <w:numPr>
          <w:ilvl w:val="0"/>
          <w:numId w:val="17"/>
        </w:numPr>
        <w:jc w:val="both"/>
        <w:rPr>
          <w:b w:val="0"/>
        </w:rPr>
      </w:pPr>
      <w:r>
        <w:rPr>
          <w:b w:val="0"/>
        </w:rPr>
        <w:t>Somalia</w:t>
      </w:r>
    </w:p>
    <w:p w:rsidR="00696898" w:rsidRPr="00696898" w:rsidRDefault="00696898" w:rsidP="00696898">
      <w:pPr>
        <w:pStyle w:val="ListParagraph"/>
        <w:numPr>
          <w:ilvl w:val="0"/>
          <w:numId w:val="17"/>
        </w:numPr>
        <w:jc w:val="both"/>
        <w:rPr>
          <w:b w:val="0"/>
        </w:rPr>
      </w:pPr>
      <w:r>
        <w:rPr>
          <w:b w:val="0"/>
        </w:rPr>
        <w:t>Syria</w:t>
      </w:r>
    </w:p>
    <w:p w:rsidR="009C75E9" w:rsidRPr="009C75E9" w:rsidRDefault="009C75E9" w:rsidP="009C75E9">
      <w:pPr>
        <w:pBdr>
          <w:bottom w:val="single" w:sz="4" w:space="1" w:color="auto"/>
        </w:pBdr>
        <w:jc w:val="both"/>
      </w:pPr>
      <w:r w:rsidRPr="009C75E9">
        <w:rPr>
          <w:i/>
        </w:rPr>
        <w:lastRenderedPageBreak/>
        <w:t>Asia and the Pacific</w:t>
      </w:r>
      <w:r w:rsidRPr="009C75E9">
        <w:tab/>
        <w:t>27-28 August 2009</w:t>
      </w:r>
      <w:r w:rsidRPr="009C75E9">
        <w:tab/>
        <w:t>Thailand</w:t>
      </w:r>
      <w:r w:rsidRPr="009C75E9">
        <w:tab/>
      </w:r>
      <w:r w:rsidRPr="009C75E9">
        <w:tab/>
      </w:r>
      <w:r w:rsidRPr="009C75E9">
        <w:tab/>
      </w:r>
      <w:r w:rsidRPr="009C75E9">
        <w:tab/>
      </w:r>
      <w:r>
        <w:tab/>
      </w:r>
      <w:r w:rsidR="005B3760">
        <w:t>17</w:t>
      </w:r>
    </w:p>
    <w:p w:rsidR="001A1D3F" w:rsidRPr="008555CB" w:rsidRDefault="009C75E9" w:rsidP="009C75E9">
      <w:pPr>
        <w:pStyle w:val="ListParagraph"/>
        <w:numPr>
          <w:ilvl w:val="0"/>
          <w:numId w:val="8"/>
        </w:numPr>
        <w:jc w:val="both"/>
        <w:rPr>
          <w:b w:val="0"/>
        </w:rPr>
      </w:pPr>
      <w:r w:rsidRPr="008555CB">
        <w:rPr>
          <w:b w:val="0"/>
        </w:rPr>
        <w:t>Afghanistan</w:t>
      </w:r>
    </w:p>
    <w:p w:rsidR="009C75E9" w:rsidRPr="008555CB" w:rsidRDefault="009C75E9" w:rsidP="009C75E9">
      <w:pPr>
        <w:pStyle w:val="ListParagraph"/>
        <w:numPr>
          <w:ilvl w:val="0"/>
          <w:numId w:val="8"/>
        </w:numPr>
        <w:jc w:val="both"/>
        <w:rPr>
          <w:b w:val="0"/>
        </w:rPr>
      </w:pPr>
      <w:r w:rsidRPr="008555CB">
        <w:rPr>
          <w:b w:val="0"/>
        </w:rPr>
        <w:t>Bangladesh</w:t>
      </w:r>
    </w:p>
    <w:p w:rsidR="009C75E9" w:rsidRPr="008555CB" w:rsidRDefault="009C75E9" w:rsidP="009C75E9">
      <w:pPr>
        <w:pStyle w:val="ListParagraph"/>
        <w:numPr>
          <w:ilvl w:val="0"/>
          <w:numId w:val="8"/>
        </w:numPr>
        <w:jc w:val="both"/>
        <w:rPr>
          <w:b w:val="0"/>
        </w:rPr>
      </w:pPr>
      <w:r w:rsidRPr="008555CB">
        <w:rPr>
          <w:b w:val="0"/>
        </w:rPr>
        <w:t>Cambodia</w:t>
      </w:r>
    </w:p>
    <w:p w:rsidR="009C75E9" w:rsidRPr="008555CB" w:rsidRDefault="009C75E9" w:rsidP="009C75E9">
      <w:pPr>
        <w:pStyle w:val="ListParagraph"/>
        <w:numPr>
          <w:ilvl w:val="0"/>
          <w:numId w:val="8"/>
        </w:numPr>
        <w:jc w:val="both"/>
        <w:rPr>
          <w:b w:val="0"/>
        </w:rPr>
      </w:pPr>
      <w:r w:rsidRPr="008555CB">
        <w:rPr>
          <w:b w:val="0"/>
        </w:rPr>
        <w:t>India</w:t>
      </w:r>
    </w:p>
    <w:p w:rsidR="009C75E9" w:rsidRPr="008555CB" w:rsidRDefault="009C75E9" w:rsidP="009C75E9">
      <w:pPr>
        <w:pStyle w:val="ListParagraph"/>
        <w:numPr>
          <w:ilvl w:val="0"/>
          <w:numId w:val="8"/>
        </w:numPr>
        <w:jc w:val="both"/>
        <w:rPr>
          <w:b w:val="0"/>
        </w:rPr>
      </w:pPr>
      <w:r w:rsidRPr="008555CB">
        <w:rPr>
          <w:b w:val="0"/>
        </w:rPr>
        <w:t>Indonesia</w:t>
      </w:r>
    </w:p>
    <w:p w:rsidR="009C75E9" w:rsidRPr="008555CB" w:rsidRDefault="009C75E9" w:rsidP="009C75E9">
      <w:pPr>
        <w:pStyle w:val="ListParagraph"/>
        <w:numPr>
          <w:ilvl w:val="0"/>
          <w:numId w:val="8"/>
        </w:numPr>
        <w:jc w:val="both"/>
        <w:rPr>
          <w:b w:val="0"/>
        </w:rPr>
      </w:pPr>
      <w:r w:rsidRPr="008555CB">
        <w:rPr>
          <w:b w:val="0"/>
        </w:rPr>
        <w:t>Korea (Republic of)</w:t>
      </w:r>
    </w:p>
    <w:p w:rsidR="009C75E9" w:rsidRPr="008555CB" w:rsidRDefault="009C75E9" w:rsidP="009C75E9">
      <w:pPr>
        <w:pStyle w:val="ListParagraph"/>
        <w:numPr>
          <w:ilvl w:val="0"/>
          <w:numId w:val="8"/>
        </w:numPr>
        <w:jc w:val="both"/>
        <w:rPr>
          <w:b w:val="0"/>
        </w:rPr>
      </w:pPr>
      <w:r w:rsidRPr="008555CB">
        <w:rPr>
          <w:b w:val="0"/>
        </w:rPr>
        <w:t>Lao</w:t>
      </w:r>
    </w:p>
    <w:p w:rsidR="009C75E9" w:rsidRPr="008555CB" w:rsidRDefault="009C75E9" w:rsidP="009C75E9">
      <w:pPr>
        <w:pStyle w:val="ListParagraph"/>
        <w:numPr>
          <w:ilvl w:val="0"/>
          <w:numId w:val="8"/>
        </w:numPr>
        <w:jc w:val="both"/>
        <w:rPr>
          <w:b w:val="0"/>
        </w:rPr>
      </w:pPr>
      <w:r w:rsidRPr="008555CB">
        <w:rPr>
          <w:b w:val="0"/>
        </w:rPr>
        <w:t>Mongolia</w:t>
      </w:r>
    </w:p>
    <w:p w:rsidR="009C75E9" w:rsidRPr="008555CB" w:rsidRDefault="009C75E9" w:rsidP="009C75E9">
      <w:pPr>
        <w:pStyle w:val="ListParagraph"/>
        <w:numPr>
          <w:ilvl w:val="0"/>
          <w:numId w:val="8"/>
        </w:numPr>
        <w:jc w:val="both"/>
        <w:rPr>
          <w:b w:val="0"/>
        </w:rPr>
      </w:pPr>
      <w:r w:rsidRPr="008555CB">
        <w:rPr>
          <w:b w:val="0"/>
        </w:rPr>
        <w:t>Nepal</w:t>
      </w:r>
    </w:p>
    <w:p w:rsidR="009C75E9" w:rsidRPr="008555CB" w:rsidRDefault="009C75E9" w:rsidP="009C75E9">
      <w:pPr>
        <w:pStyle w:val="ListParagraph"/>
        <w:numPr>
          <w:ilvl w:val="0"/>
          <w:numId w:val="8"/>
        </w:numPr>
        <w:jc w:val="both"/>
        <w:rPr>
          <w:b w:val="0"/>
        </w:rPr>
      </w:pPr>
      <w:r w:rsidRPr="008555CB">
        <w:rPr>
          <w:b w:val="0"/>
        </w:rPr>
        <w:t>Pakistan</w:t>
      </w:r>
    </w:p>
    <w:p w:rsidR="009C75E9" w:rsidRPr="008555CB" w:rsidRDefault="009C75E9" w:rsidP="009C75E9">
      <w:pPr>
        <w:pStyle w:val="ListParagraph"/>
        <w:numPr>
          <w:ilvl w:val="0"/>
          <w:numId w:val="8"/>
        </w:numPr>
        <w:jc w:val="both"/>
        <w:rPr>
          <w:b w:val="0"/>
        </w:rPr>
      </w:pPr>
      <w:r w:rsidRPr="008555CB">
        <w:rPr>
          <w:b w:val="0"/>
        </w:rPr>
        <w:t>Papua New Guinea</w:t>
      </w:r>
    </w:p>
    <w:p w:rsidR="009C75E9" w:rsidRPr="008555CB" w:rsidRDefault="009C75E9" w:rsidP="009C75E9">
      <w:pPr>
        <w:pStyle w:val="ListParagraph"/>
        <w:numPr>
          <w:ilvl w:val="0"/>
          <w:numId w:val="8"/>
        </w:numPr>
        <w:jc w:val="both"/>
        <w:rPr>
          <w:b w:val="0"/>
        </w:rPr>
      </w:pPr>
      <w:r w:rsidRPr="008555CB">
        <w:rPr>
          <w:b w:val="0"/>
        </w:rPr>
        <w:t>Philippines</w:t>
      </w:r>
    </w:p>
    <w:p w:rsidR="009C75E9" w:rsidRPr="008555CB" w:rsidRDefault="009C75E9" w:rsidP="009C75E9">
      <w:pPr>
        <w:pStyle w:val="ListParagraph"/>
        <w:numPr>
          <w:ilvl w:val="0"/>
          <w:numId w:val="8"/>
        </w:numPr>
        <w:jc w:val="both"/>
        <w:rPr>
          <w:b w:val="0"/>
        </w:rPr>
      </w:pPr>
      <w:r w:rsidRPr="008555CB">
        <w:rPr>
          <w:b w:val="0"/>
        </w:rPr>
        <w:t>Solomon Islands</w:t>
      </w:r>
    </w:p>
    <w:p w:rsidR="009C75E9" w:rsidRPr="008555CB" w:rsidRDefault="009C75E9" w:rsidP="009C75E9">
      <w:pPr>
        <w:pStyle w:val="ListParagraph"/>
        <w:numPr>
          <w:ilvl w:val="0"/>
          <w:numId w:val="8"/>
        </w:numPr>
        <w:jc w:val="both"/>
        <w:rPr>
          <w:b w:val="0"/>
        </w:rPr>
      </w:pPr>
      <w:r w:rsidRPr="008555CB">
        <w:rPr>
          <w:b w:val="0"/>
        </w:rPr>
        <w:t>Sri Lanka</w:t>
      </w:r>
    </w:p>
    <w:p w:rsidR="009C75E9" w:rsidRPr="008555CB" w:rsidRDefault="009C75E9" w:rsidP="009C75E9">
      <w:pPr>
        <w:pStyle w:val="ListParagraph"/>
        <w:numPr>
          <w:ilvl w:val="0"/>
          <w:numId w:val="8"/>
        </w:numPr>
        <w:jc w:val="both"/>
        <w:rPr>
          <w:b w:val="0"/>
        </w:rPr>
      </w:pPr>
      <w:r w:rsidRPr="008555CB">
        <w:rPr>
          <w:b w:val="0"/>
        </w:rPr>
        <w:t>Thailand</w:t>
      </w:r>
    </w:p>
    <w:p w:rsidR="009C75E9" w:rsidRPr="008555CB" w:rsidRDefault="009C75E9" w:rsidP="009C75E9">
      <w:pPr>
        <w:pStyle w:val="ListParagraph"/>
        <w:numPr>
          <w:ilvl w:val="0"/>
          <w:numId w:val="8"/>
        </w:numPr>
        <w:jc w:val="both"/>
        <w:rPr>
          <w:b w:val="0"/>
        </w:rPr>
      </w:pPr>
      <w:r w:rsidRPr="008555CB">
        <w:rPr>
          <w:b w:val="0"/>
        </w:rPr>
        <w:t>Timor-Leste</w:t>
      </w:r>
    </w:p>
    <w:p w:rsidR="008555CB" w:rsidRDefault="009C75E9" w:rsidP="008555CB">
      <w:pPr>
        <w:pStyle w:val="ListParagraph"/>
        <w:numPr>
          <w:ilvl w:val="0"/>
          <w:numId w:val="8"/>
        </w:numPr>
        <w:jc w:val="both"/>
      </w:pPr>
      <w:r w:rsidRPr="008555CB">
        <w:rPr>
          <w:b w:val="0"/>
        </w:rPr>
        <w:t>Viet Nam</w:t>
      </w:r>
    </w:p>
    <w:p w:rsidR="008555CB" w:rsidRPr="008555CB" w:rsidRDefault="008555CB" w:rsidP="008555CB">
      <w:pPr>
        <w:pBdr>
          <w:bottom w:val="single" w:sz="4" w:space="1" w:color="auto"/>
        </w:pBdr>
        <w:jc w:val="both"/>
      </w:pPr>
      <w:r w:rsidRPr="008555CB">
        <w:rPr>
          <w:i/>
        </w:rPr>
        <w:t>West and</w:t>
      </w:r>
      <w:r w:rsidRPr="008555CB">
        <w:tab/>
      </w:r>
      <w:r w:rsidRPr="008555CB">
        <w:tab/>
        <w:t>8-9 September 2009</w:t>
      </w:r>
      <w:r w:rsidRPr="008555CB">
        <w:tab/>
        <w:t>Ghana</w:t>
      </w:r>
      <w:r w:rsidRPr="008555CB">
        <w:tab/>
      </w:r>
      <w:r w:rsidRPr="008555CB">
        <w:tab/>
      </w:r>
      <w:r w:rsidRPr="008555CB">
        <w:tab/>
      </w:r>
      <w:r w:rsidRPr="008555CB">
        <w:tab/>
      </w:r>
      <w:r w:rsidRPr="008555CB">
        <w:tab/>
      </w:r>
      <w:r>
        <w:tab/>
        <w:t>19</w:t>
      </w:r>
    </w:p>
    <w:p w:rsidR="008555CB" w:rsidRPr="008555CB" w:rsidRDefault="008555CB" w:rsidP="008555CB">
      <w:pPr>
        <w:pBdr>
          <w:bottom w:val="single" w:sz="4" w:space="1" w:color="auto"/>
        </w:pBdr>
        <w:jc w:val="both"/>
        <w:rPr>
          <w:i/>
        </w:rPr>
      </w:pPr>
      <w:r w:rsidRPr="008555CB">
        <w:rPr>
          <w:i/>
        </w:rPr>
        <w:t>Central Africa</w:t>
      </w:r>
    </w:p>
    <w:p w:rsidR="008555CB" w:rsidRPr="0068744D" w:rsidRDefault="008555CB" w:rsidP="008555CB">
      <w:pPr>
        <w:pStyle w:val="ListParagraph"/>
        <w:numPr>
          <w:ilvl w:val="0"/>
          <w:numId w:val="9"/>
        </w:numPr>
        <w:jc w:val="both"/>
        <w:rPr>
          <w:b w:val="0"/>
        </w:rPr>
      </w:pPr>
      <w:r w:rsidRPr="0068744D">
        <w:rPr>
          <w:b w:val="0"/>
        </w:rPr>
        <w:t>Benin</w:t>
      </w:r>
    </w:p>
    <w:p w:rsidR="008555CB" w:rsidRPr="0068744D" w:rsidRDefault="008555CB" w:rsidP="008555CB">
      <w:pPr>
        <w:pStyle w:val="ListParagraph"/>
        <w:numPr>
          <w:ilvl w:val="0"/>
          <w:numId w:val="9"/>
        </w:numPr>
        <w:jc w:val="both"/>
        <w:rPr>
          <w:b w:val="0"/>
        </w:rPr>
      </w:pPr>
      <w:r w:rsidRPr="0068744D">
        <w:rPr>
          <w:b w:val="0"/>
        </w:rPr>
        <w:t>Botswana</w:t>
      </w:r>
    </w:p>
    <w:p w:rsidR="008555CB" w:rsidRPr="0068744D" w:rsidRDefault="008555CB" w:rsidP="008555CB">
      <w:pPr>
        <w:pStyle w:val="ListParagraph"/>
        <w:numPr>
          <w:ilvl w:val="0"/>
          <w:numId w:val="9"/>
        </w:numPr>
        <w:jc w:val="both"/>
        <w:rPr>
          <w:b w:val="0"/>
        </w:rPr>
      </w:pPr>
      <w:r w:rsidRPr="0068744D">
        <w:rPr>
          <w:b w:val="0"/>
        </w:rPr>
        <w:t>Burkina Faso</w:t>
      </w:r>
    </w:p>
    <w:p w:rsidR="008555CB" w:rsidRPr="0068744D" w:rsidRDefault="008555CB" w:rsidP="008555CB">
      <w:pPr>
        <w:pStyle w:val="ListParagraph"/>
        <w:numPr>
          <w:ilvl w:val="0"/>
          <w:numId w:val="9"/>
        </w:numPr>
        <w:jc w:val="both"/>
        <w:rPr>
          <w:b w:val="0"/>
        </w:rPr>
      </w:pPr>
      <w:r w:rsidRPr="0068744D">
        <w:rPr>
          <w:b w:val="0"/>
        </w:rPr>
        <w:t>Cape Verde</w:t>
      </w:r>
    </w:p>
    <w:p w:rsidR="008555CB" w:rsidRPr="0068744D" w:rsidRDefault="008555CB" w:rsidP="008555CB">
      <w:pPr>
        <w:pStyle w:val="ListParagraph"/>
        <w:numPr>
          <w:ilvl w:val="0"/>
          <w:numId w:val="9"/>
        </w:numPr>
        <w:jc w:val="both"/>
        <w:rPr>
          <w:b w:val="0"/>
        </w:rPr>
      </w:pPr>
      <w:r w:rsidRPr="0068744D">
        <w:rPr>
          <w:b w:val="0"/>
        </w:rPr>
        <w:t>Cote d’Ivoire</w:t>
      </w:r>
    </w:p>
    <w:p w:rsidR="008555CB" w:rsidRPr="0068744D" w:rsidRDefault="008555CB" w:rsidP="008555CB">
      <w:pPr>
        <w:pStyle w:val="ListParagraph"/>
        <w:numPr>
          <w:ilvl w:val="0"/>
          <w:numId w:val="9"/>
        </w:numPr>
        <w:jc w:val="both"/>
        <w:rPr>
          <w:b w:val="0"/>
        </w:rPr>
      </w:pPr>
      <w:r w:rsidRPr="0068744D">
        <w:rPr>
          <w:b w:val="0"/>
        </w:rPr>
        <w:t>Congo (Republic of)</w:t>
      </w:r>
    </w:p>
    <w:p w:rsidR="008555CB" w:rsidRPr="0068744D" w:rsidRDefault="008555CB" w:rsidP="008555CB">
      <w:pPr>
        <w:pStyle w:val="ListParagraph"/>
        <w:numPr>
          <w:ilvl w:val="0"/>
          <w:numId w:val="9"/>
        </w:numPr>
        <w:jc w:val="both"/>
        <w:rPr>
          <w:b w:val="0"/>
        </w:rPr>
      </w:pPr>
      <w:r w:rsidRPr="0068744D">
        <w:rPr>
          <w:b w:val="0"/>
        </w:rPr>
        <w:t>Democratic Republic of Congo</w:t>
      </w:r>
      <w:r w:rsidR="0068744D">
        <w:rPr>
          <w:b w:val="0"/>
        </w:rPr>
        <w:t>*</w:t>
      </w:r>
    </w:p>
    <w:p w:rsidR="008555CB" w:rsidRPr="0068744D" w:rsidRDefault="008555CB" w:rsidP="008555CB">
      <w:pPr>
        <w:pStyle w:val="ListParagraph"/>
        <w:numPr>
          <w:ilvl w:val="0"/>
          <w:numId w:val="9"/>
        </w:numPr>
        <w:jc w:val="both"/>
        <w:rPr>
          <w:b w:val="0"/>
        </w:rPr>
      </w:pPr>
      <w:r w:rsidRPr="0068744D">
        <w:rPr>
          <w:b w:val="0"/>
        </w:rPr>
        <w:t>Ethiopia</w:t>
      </w:r>
    </w:p>
    <w:p w:rsidR="008555CB" w:rsidRPr="0068744D" w:rsidRDefault="008555CB" w:rsidP="008555CB">
      <w:pPr>
        <w:pStyle w:val="ListParagraph"/>
        <w:numPr>
          <w:ilvl w:val="0"/>
          <w:numId w:val="9"/>
        </w:numPr>
        <w:jc w:val="both"/>
        <w:rPr>
          <w:b w:val="0"/>
        </w:rPr>
      </w:pPr>
      <w:r w:rsidRPr="0068744D">
        <w:rPr>
          <w:b w:val="0"/>
        </w:rPr>
        <w:t>The Gambia</w:t>
      </w:r>
    </w:p>
    <w:p w:rsidR="008555CB" w:rsidRPr="0068744D" w:rsidRDefault="008555CB" w:rsidP="008555CB">
      <w:pPr>
        <w:pStyle w:val="ListParagraph"/>
        <w:numPr>
          <w:ilvl w:val="0"/>
          <w:numId w:val="9"/>
        </w:numPr>
        <w:jc w:val="both"/>
        <w:rPr>
          <w:b w:val="0"/>
        </w:rPr>
      </w:pPr>
      <w:r w:rsidRPr="0068744D">
        <w:rPr>
          <w:b w:val="0"/>
        </w:rPr>
        <w:t>Ghana</w:t>
      </w:r>
    </w:p>
    <w:p w:rsidR="008555CB" w:rsidRPr="0068744D" w:rsidRDefault="008555CB" w:rsidP="008555CB">
      <w:pPr>
        <w:pStyle w:val="ListParagraph"/>
        <w:numPr>
          <w:ilvl w:val="0"/>
          <w:numId w:val="9"/>
        </w:numPr>
        <w:jc w:val="both"/>
        <w:rPr>
          <w:b w:val="0"/>
        </w:rPr>
      </w:pPr>
      <w:r w:rsidRPr="0068744D">
        <w:rPr>
          <w:b w:val="0"/>
        </w:rPr>
        <w:t>Guinea</w:t>
      </w:r>
    </w:p>
    <w:p w:rsidR="008555CB" w:rsidRPr="0068744D" w:rsidRDefault="008555CB" w:rsidP="008555CB">
      <w:pPr>
        <w:pStyle w:val="ListParagraph"/>
        <w:numPr>
          <w:ilvl w:val="0"/>
          <w:numId w:val="9"/>
        </w:numPr>
        <w:jc w:val="both"/>
        <w:rPr>
          <w:b w:val="0"/>
        </w:rPr>
      </w:pPr>
      <w:r w:rsidRPr="0068744D">
        <w:rPr>
          <w:b w:val="0"/>
        </w:rPr>
        <w:t>Guinea Bissau</w:t>
      </w:r>
    </w:p>
    <w:p w:rsidR="008555CB" w:rsidRPr="0068744D" w:rsidRDefault="008555CB" w:rsidP="008555CB">
      <w:pPr>
        <w:pStyle w:val="ListParagraph"/>
        <w:numPr>
          <w:ilvl w:val="0"/>
          <w:numId w:val="9"/>
        </w:numPr>
        <w:jc w:val="both"/>
        <w:rPr>
          <w:b w:val="0"/>
        </w:rPr>
      </w:pPr>
      <w:r w:rsidRPr="0068744D">
        <w:rPr>
          <w:b w:val="0"/>
        </w:rPr>
        <w:t>Liberia</w:t>
      </w:r>
    </w:p>
    <w:p w:rsidR="008555CB" w:rsidRPr="0068744D" w:rsidRDefault="008555CB" w:rsidP="008555CB">
      <w:pPr>
        <w:pStyle w:val="ListParagraph"/>
        <w:numPr>
          <w:ilvl w:val="0"/>
          <w:numId w:val="9"/>
        </w:numPr>
        <w:jc w:val="both"/>
        <w:rPr>
          <w:b w:val="0"/>
        </w:rPr>
      </w:pPr>
      <w:r w:rsidRPr="0068744D">
        <w:rPr>
          <w:b w:val="0"/>
        </w:rPr>
        <w:t>Malawi</w:t>
      </w:r>
      <w:r w:rsidR="0068744D">
        <w:rPr>
          <w:b w:val="0"/>
        </w:rPr>
        <w:t>*</w:t>
      </w:r>
    </w:p>
    <w:p w:rsidR="008555CB" w:rsidRPr="0068744D" w:rsidRDefault="008555CB" w:rsidP="008555CB">
      <w:pPr>
        <w:pStyle w:val="ListParagraph"/>
        <w:numPr>
          <w:ilvl w:val="0"/>
          <w:numId w:val="9"/>
        </w:numPr>
        <w:jc w:val="both"/>
        <w:rPr>
          <w:b w:val="0"/>
        </w:rPr>
      </w:pPr>
      <w:r w:rsidRPr="0068744D">
        <w:rPr>
          <w:b w:val="0"/>
        </w:rPr>
        <w:t>Niger</w:t>
      </w:r>
    </w:p>
    <w:p w:rsidR="008555CB" w:rsidRPr="0068744D" w:rsidRDefault="008555CB" w:rsidP="008555CB">
      <w:pPr>
        <w:pStyle w:val="ListParagraph"/>
        <w:numPr>
          <w:ilvl w:val="0"/>
          <w:numId w:val="9"/>
        </w:numPr>
        <w:jc w:val="both"/>
        <w:rPr>
          <w:b w:val="0"/>
        </w:rPr>
      </w:pPr>
      <w:r w:rsidRPr="0068744D">
        <w:rPr>
          <w:b w:val="0"/>
        </w:rPr>
        <w:t>Senegal</w:t>
      </w:r>
    </w:p>
    <w:p w:rsidR="008555CB" w:rsidRPr="0068744D" w:rsidRDefault="008555CB" w:rsidP="008555CB">
      <w:pPr>
        <w:pStyle w:val="ListParagraph"/>
        <w:numPr>
          <w:ilvl w:val="0"/>
          <w:numId w:val="9"/>
        </w:numPr>
        <w:jc w:val="both"/>
        <w:rPr>
          <w:b w:val="0"/>
        </w:rPr>
      </w:pPr>
      <w:r w:rsidRPr="0068744D">
        <w:rPr>
          <w:b w:val="0"/>
        </w:rPr>
        <w:t>Sierra Leone</w:t>
      </w:r>
    </w:p>
    <w:p w:rsidR="0068744D" w:rsidRPr="0068744D" w:rsidRDefault="0068744D" w:rsidP="0068744D">
      <w:pPr>
        <w:pStyle w:val="ListParagraph"/>
        <w:numPr>
          <w:ilvl w:val="0"/>
          <w:numId w:val="9"/>
        </w:numPr>
        <w:jc w:val="both"/>
        <w:rPr>
          <w:b w:val="0"/>
        </w:rPr>
      </w:pPr>
      <w:r w:rsidRPr="0068744D">
        <w:rPr>
          <w:b w:val="0"/>
        </w:rPr>
        <w:t>Tanzania</w:t>
      </w:r>
      <w:r>
        <w:rPr>
          <w:b w:val="0"/>
        </w:rPr>
        <w:t>*</w:t>
      </w:r>
    </w:p>
    <w:p w:rsidR="008555CB" w:rsidRPr="0068744D" w:rsidRDefault="008555CB" w:rsidP="008555CB">
      <w:pPr>
        <w:pStyle w:val="ListParagraph"/>
        <w:numPr>
          <w:ilvl w:val="0"/>
          <w:numId w:val="9"/>
        </w:numPr>
        <w:jc w:val="both"/>
      </w:pPr>
      <w:r w:rsidRPr="0068744D">
        <w:rPr>
          <w:b w:val="0"/>
        </w:rPr>
        <w:t>Togo</w:t>
      </w:r>
      <w:r w:rsidR="001C6214">
        <w:rPr>
          <w:b w:val="0"/>
        </w:rPr>
        <w:tab/>
      </w:r>
    </w:p>
    <w:p w:rsidR="0068744D" w:rsidRPr="00FB6D60" w:rsidRDefault="0068744D" w:rsidP="0068744D">
      <w:pPr>
        <w:jc w:val="both"/>
        <w:rPr>
          <w:b w:val="0"/>
          <w:i/>
          <w:sz w:val="18"/>
          <w:szCs w:val="18"/>
        </w:rPr>
      </w:pPr>
      <w:r w:rsidRPr="00FB6D60">
        <w:rPr>
          <w:b w:val="0"/>
          <w:i/>
          <w:sz w:val="18"/>
          <w:szCs w:val="18"/>
        </w:rPr>
        <w:lastRenderedPageBreak/>
        <w:t>*Th</w:t>
      </w:r>
      <w:r w:rsidR="00533A54">
        <w:rPr>
          <w:b w:val="0"/>
          <w:i/>
          <w:sz w:val="18"/>
          <w:szCs w:val="18"/>
        </w:rPr>
        <w:t>e</w:t>
      </w:r>
      <w:r w:rsidRPr="00FB6D60">
        <w:rPr>
          <w:b w:val="0"/>
          <w:i/>
          <w:sz w:val="18"/>
          <w:szCs w:val="18"/>
        </w:rPr>
        <w:t xml:space="preserve">se countries took part both in the Kigali and Accra sub-regional consultations. The government participation in Accra was funded by UNDP </w:t>
      </w:r>
      <w:r w:rsidR="00377C25">
        <w:rPr>
          <w:b w:val="0"/>
          <w:i/>
          <w:sz w:val="18"/>
          <w:szCs w:val="18"/>
        </w:rPr>
        <w:t>CO</w:t>
      </w:r>
      <w:r w:rsidRPr="00FB6D60">
        <w:rPr>
          <w:b w:val="0"/>
          <w:i/>
          <w:sz w:val="18"/>
          <w:szCs w:val="18"/>
        </w:rPr>
        <w:t xml:space="preserve">. </w:t>
      </w:r>
    </w:p>
    <w:p w:rsidR="0068744D" w:rsidRPr="0068744D" w:rsidRDefault="0068744D" w:rsidP="0068744D">
      <w:pPr>
        <w:pBdr>
          <w:bottom w:val="single" w:sz="4" w:space="1" w:color="auto"/>
        </w:pBdr>
        <w:jc w:val="both"/>
      </w:pPr>
      <w:r w:rsidRPr="0068744D">
        <w:rPr>
          <w:i/>
        </w:rPr>
        <w:t>Latin America and</w:t>
      </w:r>
      <w:r w:rsidRPr="0068744D">
        <w:tab/>
        <w:t>16-18 September 2009</w:t>
      </w:r>
      <w:r w:rsidRPr="0068744D">
        <w:tab/>
        <w:t>Dominican Republic</w:t>
      </w:r>
      <w:r w:rsidRPr="0068744D">
        <w:tab/>
      </w:r>
      <w:r w:rsidRPr="0068744D">
        <w:tab/>
      </w:r>
      <w:r w:rsidRPr="0068744D">
        <w:tab/>
      </w:r>
      <w:r>
        <w:tab/>
      </w:r>
      <w:r w:rsidRPr="0068744D">
        <w:t>12</w:t>
      </w:r>
    </w:p>
    <w:p w:rsidR="0068744D" w:rsidRPr="0068744D" w:rsidRDefault="0068744D" w:rsidP="0068744D">
      <w:pPr>
        <w:pBdr>
          <w:bottom w:val="single" w:sz="4" w:space="1" w:color="auto"/>
        </w:pBdr>
        <w:jc w:val="both"/>
        <w:rPr>
          <w:i/>
        </w:rPr>
      </w:pPr>
      <w:r w:rsidRPr="0068744D">
        <w:rPr>
          <w:i/>
        </w:rPr>
        <w:t>the Caribbean</w:t>
      </w:r>
    </w:p>
    <w:p w:rsidR="0068744D" w:rsidRPr="00263AA1" w:rsidRDefault="0068744D" w:rsidP="0068744D">
      <w:pPr>
        <w:pStyle w:val="ListParagraph"/>
        <w:numPr>
          <w:ilvl w:val="0"/>
          <w:numId w:val="10"/>
        </w:numPr>
        <w:jc w:val="both"/>
        <w:rPr>
          <w:b w:val="0"/>
        </w:rPr>
      </w:pPr>
      <w:r w:rsidRPr="00263AA1">
        <w:rPr>
          <w:b w:val="0"/>
        </w:rPr>
        <w:t>Bolivia</w:t>
      </w:r>
    </w:p>
    <w:p w:rsidR="0068744D" w:rsidRPr="00263AA1" w:rsidRDefault="0068744D" w:rsidP="0068744D">
      <w:pPr>
        <w:pStyle w:val="ListParagraph"/>
        <w:numPr>
          <w:ilvl w:val="0"/>
          <w:numId w:val="10"/>
        </w:numPr>
        <w:jc w:val="both"/>
        <w:rPr>
          <w:b w:val="0"/>
        </w:rPr>
      </w:pPr>
      <w:r w:rsidRPr="00263AA1">
        <w:rPr>
          <w:b w:val="0"/>
        </w:rPr>
        <w:t>Colombia</w:t>
      </w:r>
    </w:p>
    <w:p w:rsidR="0068744D" w:rsidRPr="00263AA1" w:rsidRDefault="0068744D" w:rsidP="0068744D">
      <w:pPr>
        <w:pStyle w:val="ListParagraph"/>
        <w:numPr>
          <w:ilvl w:val="0"/>
          <w:numId w:val="10"/>
        </w:numPr>
        <w:jc w:val="both"/>
        <w:rPr>
          <w:b w:val="0"/>
        </w:rPr>
      </w:pPr>
      <w:r w:rsidRPr="00263AA1">
        <w:rPr>
          <w:b w:val="0"/>
        </w:rPr>
        <w:t>Dominican Republic</w:t>
      </w:r>
    </w:p>
    <w:p w:rsidR="007D11BC" w:rsidRPr="00263AA1" w:rsidRDefault="007D11BC" w:rsidP="007D11BC">
      <w:pPr>
        <w:pStyle w:val="ListParagraph"/>
        <w:numPr>
          <w:ilvl w:val="0"/>
          <w:numId w:val="10"/>
        </w:numPr>
        <w:jc w:val="both"/>
        <w:rPr>
          <w:b w:val="0"/>
        </w:rPr>
      </w:pPr>
      <w:r w:rsidRPr="00263AA1">
        <w:rPr>
          <w:b w:val="0"/>
        </w:rPr>
        <w:t>Ecuador</w:t>
      </w:r>
    </w:p>
    <w:p w:rsidR="0068744D" w:rsidRPr="00263AA1" w:rsidRDefault="0068744D" w:rsidP="0068744D">
      <w:pPr>
        <w:pStyle w:val="ListParagraph"/>
        <w:numPr>
          <w:ilvl w:val="0"/>
          <w:numId w:val="10"/>
        </w:numPr>
        <w:jc w:val="both"/>
        <w:rPr>
          <w:b w:val="0"/>
        </w:rPr>
      </w:pPr>
      <w:r w:rsidRPr="00263AA1">
        <w:rPr>
          <w:b w:val="0"/>
        </w:rPr>
        <w:t>El Salvador</w:t>
      </w:r>
    </w:p>
    <w:p w:rsidR="0068744D" w:rsidRPr="00263AA1" w:rsidRDefault="0068744D" w:rsidP="0068744D">
      <w:pPr>
        <w:pStyle w:val="ListParagraph"/>
        <w:numPr>
          <w:ilvl w:val="0"/>
          <w:numId w:val="10"/>
        </w:numPr>
        <w:jc w:val="both"/>
        <w:rPr>
          <w:b w:val="0"/>
        </w:rPr>
      </w:pPr>
      <w:r w:rsidRPr="00263AA1">
        <w:rPr>
          <w:b w:val="0"/>
        </w:rPr>
        <w:t>Haiti</w:t>
      </w:r>
    </w:p>
    <w:p w:rsidR="007D11BC" w:rsidRPr="00263AA1" w:rsidRDefault="007D11BC" w:rsidP="007D11BC">
      <w:pPr>
        <w:pStyle w:val="ListParagraph"/>
        <w:numPr>
          <w:ilvl w:val="0"/>
          <w:numId w:val="10"/>
        </w:numPr>
        <w:jc w:val="both"/>
        <w:rPr>
          <w:b w:val="0"/>
        </w:rPr>
      </w:pPr>
      <w:r w:rsidRPr="00263AA1">
        <w:rPr>
          <w:b w:val="0"/>
        </w:rPr>
        <w:t>Mexico</w:t>
      </w:r>
    </w:p>
    <w:p w:rsidR="0068744D" w:rsidRPr="00263AA1" w:rsidRDefault="0068744D" w:rsidP="0068744D">
      <w:pPr>
        <w:pStyle w:val="ListParagraph"/>
        <w:numPr>
          <w:ilvl w:val="0"/>
          <w:numId w:val="10"/>
        </w:numPr>
        <w:jc w:val="both"/>
        <w:rPr>
          <w:b w:val="0"/>
        </w:rPr>
      </w:pPr>
      <w:r w:rsidRPr="00263AA1">
        <w:rPr>
          <w:b w:val="0"/>
        </w:rPr>
        <w:t>Nicaragua</w:t>
      </w:r>
    </w:p>
    <w:p w:rsidR="007D11BC" w:rsidRPr="00263AA1" w:rsidRDefault="007D11BC" w:rsidP="007D11BC">
      <w:pPr>
        <w:pStyle w:val="ListParagraph"/>
        <w:numPr>
          <w:ilvl w:val="0"/>
          <w:numId w:val="10"/>
        </w:numPr>
        <w:jc w:val="both"/>
        <w:rPr>
          <w:b w:val="0"/>
        </w:rPr>
      </w:pPr>
      <w:r w:rsidRPr="00263AA1">
        <w:rPr>
          <w:b w:val="0"/>
        </w:rPr>
        <w:t>Panama</w:t>
      </w:r>
    </w:p>
    <w:p w:rsidR="0068744D" w:rsidRPr="00263AA1" w:rsidRDefault="0068744D" w:rsidP="0068744D">
      <w:pPr>
        <w:pStyle w:val="ListParagraph"/>
        <w:numPr>
          <w:ilvl w:val="0"/>
          <w:numId w:val="10"/>
        </w:numPr>
        <w:jc w:val="both"/>
        <w:rPr>
          <w:b w:val="0"/>
        </w:rPr>
      </w:pPr>
      <w:r w:rsidRPr="00263AA1">
        <w:rPr>
          <w:b w:val="0"/>
        </w:rPr>
        <w:t>Paraguay</w:t>
      </w:r>
    </w:p>
    <w:p w:rsidR="007D11BC" w:rsidRPr="00263AA1" w:rsidRDefault="0068744D" w:rsidP="007D11BC">
      <w:pPr>
        <w:pStyle w:val="ListParagraph"/>
        <w:numPr>
          <w:ilvl w:val="0"/>
          <w:numId w:val="10"/>
        </w:numPr>
        <w:jc w:val="both"/>
        <w:rPr>
          <w:b w:val="0"/>
        </w:rPr>
      </w:pPr>
      <w:r w:rsidRPr="00263AA1">
        <w:rPr>
          <w:b w:val="0"/>
        </w:rPr>
        <w:t>Peru</w:t>
      </w:r>
      <w:r w:rsidR="007D11BC" w:rsidRPr="00263AA1">
        <w:rPr>
          <w:b w:val="0"/>
        </w:rPr>
        <w:t xml:space="preserve"> </w:t>
      </w:r>
    </w:p>
    <w:p w:rsidR="007D11BC" w:rsidRPr="00263AA1" w:rsidRDefault="007D11BC" w:rsidP="007D11BC">
      <w:pPr>
        <w:pStyle w:val="ListParagraph"/>
        <w:numPr>
          <w:ilvl w:val="0"/>
          <w:numId w:val="10"/>
        </w:numPr>
        <w:jc w:val="both"/>
        <w:rPr>
          <w:b w:val="0"/>
        </w:rPr>
      </w:pPr>
      <w:r w:rsidRPr="00263AA1">
        <w:rPr>
          <w:b w:val="0"/>
        </w:rPr>
        <w:t>St. Vincent and the Grenadines</w:t>
      </w:r>
    </w:p>
    <w:p w:rsidR="0068744D" w:rsidRDefault="0068744D" w:rsidP="007D11BC">
      <w:pPr>
        <w:jc w:val="both"/>
      </w:pPr>
    </w:p>
    <w:p w:rsidR="0068744D" w:rsidRDefault="0068744D" w:rsidP="007D11BC">
      <w:pPr>
        <w:jc w:val="both"/>
      </w:pPr>
    </w:p>
    <w:sectPr w:rsidR="0068744D" w:rsidSect="001C621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FA5" w:rsidRDefault="00D36FA5" w:rsidP="00C75B77">
      <w:pPr>
        <w:spacing w:after="0" w:line="240" w:lineRule="auto"/>
      </w:pPr>
      <w:r>
        <w:separator/>
      </w:r>
    </w:p>
  </w:endnote>
  <w:endnote w:type="continuationSeparator" w:id="0">
    <w:p w:rsidR="00D36FA5" w:rsidRDefault="00D36FA5" w:rsidP="00C75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yriad Pro">
    <w:altName w:val="Corbe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091DD7">
      <w:trPr>
        <w:trHeight w:val="151"/>
      </w:trPr>
      <w:tc>
        <w:tcPr>
          <w:tcW w:w="2250" w:type="pct"/>
          <w:tcBorders>
            <w:bottom w:val="single" w:sz="4" w:space="0" w:color="4F81BD" w:themeColor="accent1"/>
          </w:tcBorders>
        </w:tcPr>
        <w:p w:rsidR="00091DD7" w:rsidRDefault="00091DD7">
          <w:pPr>
            <w:pStyle w:val="Header"/>
            <w:rPr>
              <w:rFonts w:asciiTheme="majorHAnsi" w:eastAsiaTheme="majorEastAsia" w:hAnsiTheme="majorHAnsi" w:cstheme="majorBidi"/>
              <w:b w:val="0"/>
              <w:bCs/>
            </w:rPr>
          </w:pPr>
        </w:p>
      </w:tc>
      <w:tc>
        <w:tcPr>
          <w:tcW w:w="500" w:type="pct"/>
          <w:vMerge w:val="restart"/>
          <w:noWrap/>
          <w:vAlign w:val="center"/>
        </w:tcPr>
        <w:p w:rsidR="00091DD7" w:rsidRPr="00867DAB" w:rsidRDefault="00091DD7" w:rsidP="00867DAB">
          <w:pPr>
            <w:pStyle w:val="NoSpacing"/>
            <w:jc w:val="center"/>
            <w:rPr>
              <w:sz w:val="20"/>
              <w:szCs w:val="20"/>
            </w:rPr>
          </w:pPr>
          <w:r w:rsidRPr="00867DAB">
            <w:rPr>
              <w:sz w:val="20"/>
              <w:szCs w:val="20"/>
            </w:rPr>
            <w:t xml:space="preserve">Page </w:t>
          </w:r>
          <w:r w:rsidR="002B2D1C" w:rsidRPr="00867DAB">
            <w:rPr>
              <w:sz w:val="20"/>
              <w:szCs w:val="20"/>
            </w:rPr>
            <w:fldChar w:fldCharType="begin"/>
          </w:r>
          <w:r w:rsidRPr="00867DAB">
            <w:rPr>
              <w:sz w:val="20"/>
              <w:szCs w:val="20"/>
            </w:rPr>
            <w:instrText xml:space="preserve"> PAGE  \* MERGEFORMAT </w:instrText>
          </w:r>
          <w:r w:rsidR="002B2D1C" w:rsidRPr="00867DAB">
            <w:rPr>
              <w:sz w:val="20"/>
              <w:szCs w:val="20"/>
            </w:rPr>
            <w:fldChar w:fldCharType="separate"/>
          </w:r>
          <w:r w:rsidR="00377C25">
            <w:rPr>
              <w:noProof/>
              <w:sz w:val="20"/>
              <w:szCs w:val="20"/>
            </w:rPr>
            <w:t>2</w:t>
          </w:r>
          <w:r w:rsidR="002B2D1C" w:rsidRPr="00867DAB">
            <w:rPr>
              <w:sz w:val="20"/>
              <w:szCs w:val="20"/>
            </w:rPr>
            <w:fldChar w:fldCharType="end"/>
          </w:r>
        </w:p>
      </w:tc>
      <w:tc>
        <w:tcPr>
          <w:tcW w:w="2250" w:type="pct"/>
          <w:tcBorders>
            <w:bottom w:val="single" w:sz="4" w:space="0" w:color="4F81BD" w:themeColor="accent1"/>
          </w:tcBorders>
        </w:tcPr>
        <w:p w:rsidR="00091DD7" w:rsidRDefault="00091DD7">
          <w:pPr>
            <w:pStyle w:val="Header"/>
            <w:rPr>
              <w:rFonts w:asciiTheme="majorHAnsi" w:eastAsiaTheme="majorEastAsia" w:hAnsiTheme="majorHAnsi" w:cstheme="majorBidi"/>
              <w:b w:val="0"/>
              <w:bCs/>
            </w:rPr>
          </w:pPr>
        </w:p>
      </w:tc>
    </w:tr>
    <w:tr w:rsidR="00091DD7">
      <w:trPr>
        <w:trHeight w:val="150"/>
      </w:trPr>
      <w:tc>
        <w:tcPr>
          <w:tcW w:w="2250" w:type="pct"/>
          <w:tcBorders>
            <w:top w:val="single" w:sz="4" w:space="0" w:color="4F81BD" w:themeColor="accent1"/>
          </w:tcBorders>
        </w:tcPr>
        <w:p w:rsidR="00091DD7" w:rsidRDefault="00091DD7">
          <w:pPr>
            <w:pStyle w:val="Header"/>
            <w:rPr>
              <w:rFonts w:asciiTheme="majorHAnsi" w:eastAsiaTheme="majorEastAsia" w:hAnsiTheme="majorHAnsi" w:cstheme="majorBidi"/>
              <w:b w:val="0"/>
              <w:bCs/>
            </w:rPr>
          </w:pPr>
        </w:p>
      </w:tc>
      <w:tc>
        <w:tcPr>
          <w:tcW w:w="500" w:type="pct"/>
          <w:vMerge/>
        </w:tcPr>
        <w:p w:rsidR="00091DD7" w:rsidRDefault="00091DD7">
          <w:pPr>
            <w:pStyle w:val="Header"/>
            <w:jc w:val="center"/>
            <w:rPr>
              <w:rFonts w:asciiTheme="majorHAnsi" w:eastAsiaTheme="majorEastAsia" w:hAnsiTheme="majorHAnsi" w:cstheme="majorBidi"/>
              <w:b w:val="0"/>
              <w:bCs/>
            </w:rPr>
          </w:pPr>
        </w:p>
      </w:tc>
      <w:tc>
        <w:tcPr>
          <w:tcW w:w="2250" w:type="pct"/>
          <w:tcBorders>
            <w:top w:val="single" w:sz="4" w:space="0" w:color="4F81BD" w:themeColor="accent1"/>
          </w:tcBorders>
        </w:tcPr>
        <w:p w:rsidR="00091DD7" w:rsidRDefault="00091DD7">
          <w:pPr>
            <w:pStyle w:val="Header"/>
            <w:rPr>
              <w:rFonts w:asciiTheme="majorHAnsi" w:eastAsiaTheme="majorEastAsia" w:hAnsiTheme="majorHAnsi" w:cstheme="majorBidi"/>
              <w:b w:val="0"/>
              <w:bCs/>
            </w:rPr>
          </w:pPr>
        </w:p>
      </w:tc>
    </w:tr>
  </w:tbl>
  <w:p w:rsidR="00091DD7" w:rsidRDefault="00091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FA5" w:rsidRDefault="00D36FA5" w:rsidP="00C75B77">
      <w:pPr>
        <w:spacing w:after="0" w:line="240" w:lineRule="auto"/>
      </w:pPr>
      <w:r>
        <w:separator/>
      </w:r>
    </w:p>
  </w:footnote>
  <w:footnote w:type="continuationSeparator" w:id="0">
    <w:p w:rsidR="00D36FA5" w:rsidRDefault="00D36FA5" w:rsidP="00C75B77">
      <w:pPr>
        <w:spacing w:after="0" w:line="240" w:lineRule="auto"/>
      </w:pPr>
      <w:r>
        <w:continuationSeparator/>
      </w:r>
    </w:p>
  </w:footnote>
  <w:footnote w:id="1">
    <w:p w:rsidR="00091DD7" w:rsidRPr="004B37A6" w:rsidRDefault="00091DD7">
      <w:pPr>
        <w:pStyle w:val="FootnoteText"/>
        <w:rPr>
          <w:b w:val="0"/>
        </w:rPr>
      </w:pPr>
      <w:r w:rsidRPr="004B37A6">
        <w:rPr>
          <w:rStyle w:val="FootnoteReference"/>
          <w:b w:val="0"/>
        </w:rPr>
        <w:footnoteRef/>
      </w:r>
      <w:r w:rsidRPr="004B37A6">
        <w:rPr>
          <w:b w:val="0"/>
        </w:rPr>
        <w:t xml:space="preserve"> The </w:t>
      </w:r>
      <w:r>
        <w:rPr>
          <w:b w:val="0"/>
        </w:rPr>
        <w:t>budget estimates and funding received was based on 1 government representative per country per regional/sub-regional consultation.</w:t>
      </w:r>
    </w:p>
  </w:footnote>
  <w:footnote w:id="2">
    <w:p w:rsidR="00091DD7" w:rsidRPr="00C75B77" w:rsidRDefault="00091DD7">
      <w:pPr>
        <w:pStyle w:val="FootnoteText"/>
      </w:pPr>
      <w:r w:rsidRPr="00C75B77">
        <w:rPr>
          <w:rStyle w:val="FootnoteReference"/>
          <w:b w:val="0"/>
        </w:rPr>
        <w:footnoteRef/>
      </w:r>
      <w:r w:rsidRPr="00C75B77">
        <w:rPr>
          <w:b w:val="0"/>
        </w:rPr>
        <w:t xml:space="preserve"> Development Initiatives Poverty Research, IATI Scoping</w:t>
      </w:r>
      <w:r>
        <w:rPr>
          <w:b w:val="0"/>
        </w:rPr>
        <w:t xml:space="preserve"> p</w:t>
      </w:r>
      <w:r w:rsidRPr="00C75B77">
        <w:rPr>
          <w:b w:val="0"/>
        </w:rPr>
        <w:t>aper</w:t>
      </w:r>
      <w:r>
        <w:rPr>
          <w:b w:val="0"/>
        </w:rPr>
        <w:t xml:space="preserve"> for consultation, March 2009. See in particular chapter entitled “Overview of gaps and opportunities”, pages 16-21.</w:t>
      </w:r>
      <w:r w:rsidRPr="00C75B77">
        <w:t xml:space="preserve"> </w:t>
      </w:r>
    </w:p>
  </w:footnote>
  <w:footnote w:id="3">
    <w:p w:rsidR="00BE3DA6" w:rsidRDefault="00BE3DA6">
      <w:pPr>
        <w:pStyle w:val="FootnoteText"/>
        <w:rPr>
          <w:b w:val="0"/>
        </w:rPr>
      </w:pPr>
      <w:r>
        <w:rPr>
          <w:rStyle w:val="FootnoteReference"/>
        </w:rPr>
        <w:footnoteRef/>
      </w:r>
      <w:r>
        <w:t xml:space="preserve"> </w:t>
      </w:r>
      <w:r w:rsidRPr="00BE3DA6">
        <w:rPr>
          <w:b w:val="0"/>
        </w:rPr>
        <w:t xml:space="preserve">Capacity Development Facility for Development Effectiveness: </w:t>
      </w:r>
      <w:hyperlink r:id="rId1" w:history="1">
        <w:r w:rsidR="00377C25" w:rsidRPr="006210F6">
          <w:rPr>
            <w:rStyle w:val="Hyperlink"/>
            <w:b w:val="0"/>
          </w:rPr>
          <w:t>http://www.aideffectiveness.org/portal/index.php?Itemid=41</w:t>
        </w:r>
      </w:hyperlink>
      <w:r>
        <w:rPr>
          <w:b w:val="0"/>
        </w:rPr>
        <w:t>.</w:t>
      </w:r>
    </w:p>
    <w:p w:rsidR="00BE3DA6" w:rsidRDefault="00BE3DA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D7" w:rsidRDefault="00091DD7" w:rsidP="001C7FFD">
    <w:pPr>
      <w:pStyle w:val="Header"/>
      <w:tabs>
        <w:tab w:val="clear" w:pos="4680"/>
        <w:tab w:val="clear" w:pos="9360"/>
        <w:tab w:val="left" w:pos="405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B35"/>
    <w:multiLevelType w:val="hybridMultilevel"/>
    <w:tmpl w:val="543E57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61DD3"/>
    <w:multiLevelType w:val="hybridMultilevel"/>
    <w:tmpl w:val="CF4C2C62"/>
    <w:lvl w:ilvl="0" w:tplc="02CCA51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D3F8F"/>
    <w:multiLevelType w:val="hybridMultilevel"/>
    <w:tmpl w:val="3AC26D8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E395E"/>
    <w:multiLevelType w:val="hybridMultilevel"/>
    <w:tmpl w:val="3216F120"/>
    <w:lvl w:ilvl="0" w:tplc="02CCA51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E0907"/>
    <w:multiLevelType w:val="hybridMultilevel"/>
    <w:tmpl w:val="158050C2"/>
    <w:lvl w:ilvl="0" w:tplc="4440B0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94F0F"/>
    <w:multiLevelType w:val="hybridMultilevel"/>
    <w:tmpl w:val="72521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4F1BEF"/>
    <w:multiLevelType w:val="hybridMultilevel"/>
    <w:tmpl w:val="8B907F4A"/>
    <w:lvl w:ilvl="0" w:tplc="4440B0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51D29"/>
    <w:multiLevelType w:val="hybridMultilevel"/>
    <w:tmpl w:val="EDA0CBA0"/>
    <w:lvl w:ilvl="0" w:tplc="4440B0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091E54"/>
    <w:multiLevelType w:val="hybridMultilevel"/>
    <w:tmpl w:val="7E224036"/>
    <w:lvl w:ilvl="0" w:tplc="4440B0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A07DF"/>
    <w:multiLevelType w:val="multilevel"/>
    <w:tmpl w:val="A650C8A8"/>
    <w:lvl w:ilvl="0">
      <w:start w:val="1"/>
      <w:numFmt w:val="upperRoman"/>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2B13568"/>
    <w:multiLevelType w:val="hybridMultilevel"/>
    <w:tmpl w:val="FF3C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A0BA3"/>
    <w:multiLevelType w:val="hybridMultilevel"/>
    <w:tmpl w:val="562C5592"/>
    <w:lvl w:ilvl="0" w:tplc="4440B0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77710"/>
    <w:multiLevelType w:val="hybridMultilevel"/>
    <w:tmpl w:val="F3161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F60B54"/>
    <w:multiLevelType w:val="hybridMultilevel"/>
    <w:tmpl w:val="B1A22B90"/>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6B205A9"/>
    <w:multiLevelType w:val="hybridMultilevel"/>
    <w:tmpl w:val="F3C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F0D57"/>
    <w:multiLevelType w:val="hybridMultilevel"/>
    <w:tmpl w:val="FB92D60E"/>
    <w:lvl w:ilvl="0" w:tplc="02CCA5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2"/>
  </w:num>
  <w:num w:numId="5">
    <w:abstractNumId w:val="5"/>
  </w:num>
  <w:num w:numId="6">
    <w:abstractNumId w:val="7"/>
  </w:num>
  <w:num w:numId="7">
    <w:abstractNumId w:val="4"/>
  </w:num>
  <w:num w:numId="8">
    <w:abstractNumId w:val="8"/>
  </w:num>
  <w:num w:numId="9">
    <w:abstractNumId w:val="11"/>
  </w:num>
  <w:num w:numId="10">
    <w:abstractNumId w:val="6"/>
  </w:num>
  <w:num w:numId="11">
    <w:abstractNumId w:val="9"/>
  </w:num>
  <w:num w:numId="12">
    <w:abstractNumId w:val="14"/>
  </w:num>
  <w:num w:numId="13">
    <w:abstractNumId w:val="0"/>
  </w:num>
  <w:num w:numId="14">
    <w:abstractNumId w:val="1"/>
  </w:num>
  <w:num w:numId="15">
    <w:abstractNumId w:val="3"/>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drawingGridHorizontalSpacing w:val="221"/>
  <w:characterSpacingControl w:val="doNotCompress"/>
  <w:footnotePr>
    <w:footnote w:id="-1"/>
    <w:footnote w:id="0"/>
  </w:footnotePr>
  <w:endnotePr>
    <w:endnote w:id="-1"/>
    <w:endnote w:id="0"/>
  </w:endnotePr>
  <w:compat/>
  <w:rsids>
    <w:rsidRoot w:val="000E4289"/>
    <w:rsid w:val="000371CB"/>
    <w:rsid w:val="0004333A"/>
    <w:rsid w:val="000451AB"/>
    <w:rsid w:val="00085236"/>
    <w:rsid w:val="00091DD7"/>
    <w:rsid w:val="000A054F"/>
    <w:rsid w:val="000E4289"/>
    <w:rsid w:val="0010006D"/>
    <w:rsid w:val="001106DB"/>
    <w:rsid w:val="00151BD0"/>
    <w:rsid w:val="00176189"/>
    <w:rsid w:val="001A1D3F"/>
    <w:rsid w:val="001C02EC"/>
    <w:rsid w:val="001C6214"/>
    <w:rsid w:val="001C7FFD"/>
    <w:rsid w:val="001D55DA"/>
    <w:rsid w:val="001F4562"/>
    <w:rsid w:val="00263AA1"/>
    <w:rsid w:val="002654B4"/>
    <w:rsid w:val="002734B0"/>
    <w:rsid w:val="00287188"/>
    <w:rsid w:val="002B2D1C"/>
    <w:rsid w:val="002C7077"/>
    <w:rsid w:val="002D5F07"/>
    <w:rsid w:val="002F5C14"/>
    <w:rsid w:val="00316F0D"/>
    <w:rsid w:val="00333DFD"/>
    <w:rsid w:val="00342570"/>
    <w:rsid w:val="00377C25"/>
    <w:rsid w:val="003C521D"/>
    <w:rsid w:val="003F6D1D"/>
    <w:rsid w:val="004405A2"/>
    <w:rsid w:val="004B37A6"/>
    <w:rsid w:val="004C48E2"/>
    <w:rsid w:val="004F1767"/>
    <w:rsid w:val="00502E9D"/>
    <w:rsid w:val="00533A54"/>
    <w:rsid w:val="00563906"/>
    <w:rsid w:val="00573914"/>
    <w:rsid w:val="0059230F"/>
    <w:rsid w:val="00593178"/>
    <w:rsid w:val="005B3760"/>
    <w:rsid w:val="005B7700"/>
    <w:rsid w:val="005D5A8E"/>
    <w:rsid w:val="006102D4"/>
    <w:rsid w:val="00634943"/>
    <w:rsid w:val="006404B6"/>
    <w:rsid w:val="00645AB5"/>
    <w:rsid w:val="00665D51"/>
    <w:rsid w:val="0068322B"/>
    <w:rsid w:val="0068744D"/>
    <w:rsid w:val="00696898"/>
    <w:rsid w:val="006C5D49"/>
    <w:rsid w:val="006C71F7"/>
    <w:rsid w:val="006F1F6B"/>
    <w:rsid w:val="00796FCC"/>
    <w:rsid w:val="007B6976"/>
    <w:rsid w:val="007B6DC7"/>
    <w:rsid w:val="007D11BC"/>
    <w:rsid w:val="007D7665"/>
    <w:rsid w:val="00840528"/>
    <w:rsid w:val="00846C4D"/>
    <w:rsid w:val="008555CB"/>
    <w:rsid w:val="00867DAB"/>
    <w:rsid w:val="008A274B"/>
    <w:rsid w:val="008E3316"/>
    <w:rsid w:val="008F143B"/>
    <w:rsid w:val="00924C62"/>
    <w:rsid w:val="009334A8"/>
    <w:rsid w:val="00995C43"/>
    <w:rsid w:val="009A4AEB"/>
    <w:rsid w:val="009C75E9"/>
    <w:rsid w:val="00A2416C"/>
    <w:rsid w:val="00A526A1"/>
    <w:rsid w:val="00A53B75"/>
    <w:rsid w:val="00A601FD"/>
    <w:rsid w:val="00AA0B5F"/>
    <w:rsid w:val="00AB7E8A"/>
    <w:rsid w:val="00AC6DD9"/>
    <w:rsid w:val="00AD7548"/>
    <w:rsid w:val="00AE43EC"/>
    <w:rsid w:val="00AF46D6"/>
    <w:rsid w:val="00B01754"/>
    <w:rsid w:val="00B062D7"/>
    <w:rsid w:val="00B204FB"/>
    <w:rsid w:val="00B428A9"/>
    <w:rsid w:val="00B70BAA"/>
    <w:rsid w:val="00B90B27"/>
    <w:rsid w:val="00B94B76"/>
    <w:rsid w:val="00B971C8"/>
    <w:rsid w:val="00BB11DC"/>
    <w:rsid w:val="00BE3DA6"/>
    <w:rsid w:val="00C018BB"/>
    <w:rsid w:val="00C3739B"/>
    <w:rsid w:val="00C75B77"/>
    <w:rsid w:val="00C824C8"/>
    <w:rsid w:val="00C90ADA"/>
    <w:rsid w:val="00CA27A1"/>
    <w:rsid w:val="00CA6587"/>
    <w:rsid w:val="00CA737C"/>
    <w:rsid w:val="00CD3B5B"/>
    <w:rsid w:val="00D060C3"/>
    <w:rsid w:val="00D25478"/>
    <w:rsid w:val="00D36FA5"/>
    <w:rsid w:val="00DA53DC"/>
    <w:rsid w:val="00DA7CE9"/>
    <w:rsid w:val="00E36401"/>
    <w:rsid w:val="00E85249"/>
    <w:rsid w:val="00E901A3"/>
    <w:rsid w:val="00EC3EE7"/>
    <w:rsid w:val="00F05E9A"/>
    <w:rsid w:val="00F10D12"/>
    <w:rsid w:val="00F1626F"/>
    <w:rsid w:val="00F24B39"/>
    <w:rsid w:val="00F3201D"/>
    <w:rsid w:val="00F6435C"/>
    <w:rsid w:val="00F949AF"/>
    <w:rsid w:val="00FB4BE5"/>
    <w:rsid w:val="00FB6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6F"/>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26F"/>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33DFD"/>
    <w:pPr>
      <w:ind w:left="720"/>
      <w:contextualSpacing/>
    </w:pPr>
  </w:style>
  <w:style w:type="paragraph" w:styleId="FootnoteText">
    <w:name w:val="footnote text"/>
    <w:basedOn w:val="Normal"/>
    <w:link w:val="FootnoteTextChar"/>
    <w:uiPriority w:val="99"/>
    <w:semiHidden/>
    <w:unhideWhenUsed/>
    <w:rsid w:val="00C75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B77"/>
    <w:rPr>
      <w:b/>
      <w:sz w:val="20"/>
      <w:szCs w:val="20"/>
    </w:rPr>
  </w:style>
  <w:style w:type="character" w:styleId="FootnoteReference">
    <w:name w:val="footnote reference"/>
    <w:basedOn w:val="DefaultParagraphFont"/>
    <w:uiPriority w:val="99"/>
    <w:semiHidden/>
    <w:unhideWhenUsed/>
    <w:rsid w:val="00C75B77"/>
    <w:rPr>
      <w:vertAlign w:val="superscript"/>
    </w:rPr>
  </w:style>
  <w:style w:type="paragraph" w:styleId="BalloonText">
    <w:name w:val="Balloon Text"/>
    <w:basedOn w:val="Normal"/>
    <w:link w:val="BalloonTextChar"/>
    <w:uiPriority w:val="99"/>
    <w:semiHidden/>
    <w:unhideWhenUsed/>
    <w:rsid w:val="001C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FD"/>
    <w:rPr>
      <w:rFonts w:ascii="Tahoma" w:hAnsi="Tahoma" w:cs="Tahoma"/>
      <w:b/>
      <w:sz w:val="16"/>
      <w:szCs w:val="16"/>
    </w:rPr>
  </w:style>
  <w:style w:type="paragraph" w:styleId="Header">
    <w:name w:val="header"/>
    <w:basedOn w:val="Normal"/>
    <w:link w:val="HeaderChar"/>
    <w:uiPriority w:val="99"/>
    <w:unhideWhenUsed/>
    <w:rsid w:val="001C7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FD"/>
    <w:rPr>
      <w:b/>
    </w:rPr>
  </w:style>
  <w:style w:type="paragraph" w:styleId="Footer">
    <w:name w:val="footer"/>
    <w:basedOn w:val="Normal"/>
    <w:link w:val="FooterChar"/>
    <w:uiPriority w:val="99"/>
    <w:semiHidden/>
    <w:unhideWhenUsed/>
    <w:rsid w:val="001C7F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7FFD"/>
    <w:rPr>
      <w:b/>
    </w:rPr>
  </w:style>
  <w:style w:type="paragraph" w:styleId="NoSpacing">
    <w:name w:val="No Spacing"/>
    <w:link w:val="NoSpacingChar"/>
    <w:uiPriority w:val="1"/>
    <w:qFormat/>
    <w:rsid w:val="001C7FFD"/>
    <w:pPr>
      <w:spacing w:after="0" w:line="240" w:lineRule="auto"/>
    </w:pPr>
    <w:rPr>
      <w:rFonts w:eastAsiaTheme="minorEastAsia"/>
    </w:rPr>
  </w:style>
  <w:style w:type="character" w:customStyle="1" w:styleId="NoSpacingChar">
    <w:name w:val="No Spacing Char"/>
    <w:basedOn w:val="DefaultParagraphFont"/>
    <w:link w:val="NoSpacing"/>
    <w:uiPriority w:val="1"/>
    <w:rsid w:val="001C7FFD"/>
    <w:rPr>
      <w:rFonts w:eastAsiaTheme="minorEastAsia"/>
    </w:rPr>
  </w:style>
  <w:style w:type="character" w:styleId="Hyperlink">
    <w:name w:val="Hyperlink"/>
    <w:basedOn w:val="DefaultParagraphFont"/>
    <w:uiPriority w:val="99"/>
    <w:unhideWhenUsed/>
    <w:rsid w:val="006102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idtransparency.net/consultation-workshop-materia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ideffectiveness.org/portal/index.php?Itemid=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2C76-3F22-4701-AF18-3F31D5ED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danila.boneva</dc:creator>
  <cp:lastModifiedBy>danila.boneva</cp:lastModifiedBy>
  <cp:revision>3</cp:revision>
  <cp:lastPrinted>2009-09-24T20:48:00Z</cp:lastPrinted>
  <dcterms:created xsi:type="dcterms:W3CDTF">2009-09-25T13:53:00Z</dcterms:created>
  <dcterms:modified xsi:type="dcterms:W3CDTF">2009-09-25T14:02:00Z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46533</vt:lpwstr>
  </property>
  <property fmtid="{D5CDD505-2E9C-101B-9397-08002B2CF9AE}" name="NXPowerLiteVersion" pid="3">
    <vt:lpwstr>D3.7.2</vt:lpwstr>
  </property>
</Properties>
</file>