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87" w:rsidRPr="000E29C4" w:rsidRDefault="00690FEC">
      <w:pPr>
        <w:rPr>
          <w:b/>
          <w:lang w:val="en-GB"/>
        </w:rPr>
      </w:pPr>
      <w:bookmarkStart w:id="0" w:name="_GoBack"/>
      <w:bookmarkEnd w:id="0"/>
      <w:r w:rsidRPr="000E29C4">
        <w:rPr>
          <w:b/>
          <w:lang w:val="en-GB"/>
        </w:rPr>
        <w:t>IATI-reporting partnerships – Partnerships reported in IATI format</w:t>
      </w:r>
    </w:p>
    <w:p w:rsidR="00690FEC" w:rsidRPr="000E29C4" w:rsidRDefault="00690FEC">
      <w:pPr>
        <w:rPr>
          <w:lang w:val="en-GB"/>
        </w:rPr>
      </w:pPr>
    </w:p>
    <w:p w:rsidR="00690FEC" w:rsidRPr="000E29C4" w:rsidRDefault="00690FEC">
      <w:pPr>
        <w:rPr>
          <w:lang w:val="en-GB"/>
        </w:rPr>
      </w:pPr>
      <w:r w:rsidRPr="000E29C4">
        <w:rPr>
          <w:lang w:val="en-GB"/>
        </w:rPr>
        <w:t xml:space="preserve">The IATI-standard increases transparency, allowing </w:t>
      </w:r>
      <w:r w:rsidR="00C07B27" w:rsidRPr="000E29C4">
        <w:rPr>
          <w:lang w:val="en-GB"/>
        </w:rPr>
        <w:t>any partner</w:t>
      </w:r>
      <w:r w:rsidR="00CC2F0C">
        <w:rPr>
          <w:lang w:val="en-GB"/>
        </w:rPr>
        <w:t xml:space="preserve"> in development cooperation</w:t>
      </w:r>
      <w:r w:rsidR="00C07B27" w:rsidRPr="000E29C4">
        <w:rPr>
          <w:lang w:val="en-GB"/>
        </w:rPr>
        <w:t xml:space="preserve"> to publish their data</w:t>
      </w:r>
      <w:r w:rsidRPr="000E29C4">
        <w:rPr>
          <w:lang w:val="en-GB"/>
        </w:rPr>
        <w:t xml:space="preserve"> </w:t>
      </w:r>
      <w:r w:rsidR="00C07B27" w:rsidRPr="000E29C4">
        <w:rPr>
          <w:lang w:val="en-GB"/>
        </w:rPr>
        <w:t>in the same digital format</w:t>
      </w:r>
      <w:r w:rsidRPr="000E29C4">
        <w:rPr>
          <w:lang w:val="en-GB"/>
        </w:rPr>
        <w:t>. This, in itself, has huge advantages</w:t>
      </w:r>
      <w:r w:rsidR="000E29C4" w:rsidRPr="000E29C4">
        <w:rPr>
          <w:lang w:val="en-GB"/>
        </w:rPr>
        <w:t>. W</w:t>
      </w:r>
      <w:r w:rsidR="00C07B27" w:rsidRPr="000E29C4">
        <w:rPr>
          <w:lang w:val="en-GB"/>
        </w:rPr>
        <w:t xml:space="preserve">hen the optimal frequency of updates to the various data-elements have </w:t>
      </w:r>
      <w:r w:rsidR="000E29C4" w:rsidRPr="000E29C4">
        <w:rPr>
          <w:lang w:val="en-GB"/>
        </w:rPr>
        <w:t>been reached, it is a potent too</w:t>
      </w:r>
      <w:r w:rsidR="00C07B27" w:rsidRPr="000E29C4">
        <w:rPr>
          <w:lang w:val="en-GB"/>
        </w:rPr>
        <w:t>l for the fulfilment of mutual obligations to</w:t>
      </w:r>
      <w:r w:rsidR="000E29C4" w:rsidRPr="000E29C4">
        <w:rPr>
          <w:lang w:val="en-GB"/>
        </w:rPr>
        <w:t xml:space="preserve"> pursue effectiveness in our cooperation (ref. </w:t>
      </w:r>
      <w:proofErr w:type="spellStart"/>
      <w:r w:rsidR="000F7568">
        <w:rPr>
          <w:lang w:val="en-GB"/>
        </w:rPr>
        <w:t>eg</w:t>
      </w:r>
      <w:proofErr w:type="spellEnd"/>
      <w:r w:rsidR="000F7568">
        <w:rPr>
          <w:lang w:val="en-GB"/>
        </w:rPr>
        <w:t xml:space="preserve">. The </w:t>
      </w:r>
      <w:r w:rsidR="000E29C4" w:rsidRPr="000E29C4">
        <w:rPr>
          <w:lang w:val="en-GB"/>
        </w:rPr>
        <w:t>Busan commitment</w:t>
      </w:r>
      <w:r w:rsidR="000F7568">
        <w:rPr>
          <w:lang w:val="en-GB"/>
        </w:rPr>
        <w:t xml:space="preserve"> and Grand Bargain</w:t>
      </w:r>
      <w:r w:rsidR="000E29C4" w:rsidRPr="000E29C4">
        <w:rPr>
          <w:lang w:val="en-GB"/>
        </w:rPr>
        <w:t>).</w:t>
      </w:r>
    </w:p>
    <w:p w:rsidR="000E29C4" w:rsidRDefault="000E29C4">
      <w:pPr>
        <w:rPr>
          <w:lang w:val="en-GB"/>
        </w:rPr>
      </w:pPr>
      <w:r w:rsidRPr="000E29C4">
        <w:rPr>
          <w:lang w:val="en-GB"/>
        </w:rPr>
        <w:t xml:space="preserve">It has been difficult to provide general advice for </w:t>
      </w:r>
      <w:r w:rsidR="00CC2F0C">
        <w:rPr>
          <w:lang w:val="en-GB"/>
        </w:rPr>
        <w:t>organisations that</w:t>
      </w:r>
      <w:r w:rsidRPr="000E29C4">
        <w:rPr>
          <w:lang w:val="en-GB"/>
        </w:rPr>
        <w:t xml:space="preserve"> </w:t>
      </w:r>
      <w:r>
        <w:rPr>
          <w:lang w:val="en-GB"/>
        </w:rPr>
        <w:t xml:space="preserve">embark on the </w:t>
      </w:r>
      <w:r w:rsidR="00C31ED9">
        <w:rPr>
          <w:lang w:val="en-GB"/>
        </w:rPr>
        <w:t>process of becoming IATI-publishers. Concept</w:t>
      </w:r>
      <w:r w:rsidR="00CC2F0C">
        <w:rPr>
          <w:lang w:val="en-GB"/>
        </w:rPr>
        <w:t>s like ‘open data standards’,</w:t>
      </w:r>
      <w:r w:rsidR="00C31ED9">
        <w:rPr>
          <w:lang w:val="en-GB"/>
        </w:rPr>
        <w:t xml:space="preserve"> </w:t>
      </w:r>
      <w:r w:rsidR="00C75510">
        <w:rPr>
          <w:lang w:val="en-GB"/>
        </w:rPr>
        <w:t>di</w:t>
      </w:r>
      <w:r w:rsidR="006F4781">
        <w:rPr>
          <w:lang w:val="en-GB"/>
        </w:rPr>
        <w:t>gital data-management skills</w:t>
      </w:r>
      <w:r w:rsidR="00CC2F0C">
        <w:rPr>
          <w:lang w:val="en-GB"/>
        </w:rPr>
        <w:t xml:space="preserve"> and the ability to read and write xml</w:t>
      </w:r>
      <w:r w:rsidR="00C31ED9">
        <w:rPr>
          <w:lang w:val="en-GB"/>
        </w:rPr>
        <w:t xml:space="preserve"> are not at the core of </w:t>
      </w:r>
      <w:r w:rsidR="00C75510">
        <w:rPr>
          <w:lang w:val="en-GB"/>
        </w:rPr>
        <w:t xml:space="preserve">development cooperation. Tools are available, to ease the technical task – e.g. the </w:t>
      </w:r>
      <w:proofErr w:type="spellStart"/>
      <w:r w:rsidR="00C75510">
        <w:rPr>
          <w:lang w:val="en-GB"/>
        </w:rPr>
        <w:t>AidStream</w:t>
      </w:r>
      <w:proofErr w:type="spellEnd"/>
      <w:r w:rsidR="00C75510">
        <w:rPr>
          <w:lang w:val="en-GB"/>
        </w:rPr>
        <w:t xml:space="preserve"> portal – but </w:t>
      </w:r>
      <w:r w:rsidR="006F4781">
        <w:rPr>
          <w:lang w:val="en-GB"/>
        </w:rPr>
        <w:t xml:space="preserve">the </w:t>
      </w:r>
      <w:r w:rsidR="007E58D3">
        <w:rPr>
          <w:lang w:val="en-GB"/>
        </w:rPr>
        <w:t xml:space="preserve">real </w:t>
      </w:r>
      <w:r w:rsidR="005C1C0A">
        <w:rPr>
          <w:lang w:val="en-GB"/>
        </w:rPr>
        <w:t>challenge</w:t>
      </w:r>
      <w:r w:rsidR="006F4781">
        <w:rPr>
          <w:lang w:val="en-GB"/>
        </w:rPr>
        <w:t xml:space="preserve"> is </w:t>
      </w:r>
      <w:r w:rsidR="00253BB6">
        <w:rPr>
          <w:lang w:val="en-GB"/>
        </w:rPr>
        <w:t>most likely</w:t>
      </w:r>
      <w:r w:rsidR="007E58D3">
        <w:rPr>
          <w:lang w:val="en-GB"/>
        </w:rPr>
        <w:t xml:space="preserve"> </w:t>
      </w:r>
      <w:r w:rsidR="006F4781">
        <w:rPr>
          <w:lang w:val="en-GB"/>
        </w:rPr>
        <w:t>of an</w:t>
      </w:r>
      <w:r w:rsidR="005C1C0A">
        <w:rPr>
          <w:lang w:val="en-GB"/>
        </w:rPr>
        <w:t>other nature; the broader</w:t>
      </w:r>
      <w:r w:rsidR="00CC2F0C">
        <w:rPr>
          <w:lang w:val="en-GB"/>
        </w:rPr>
        <w:t xml:space="preserve"> </w:t>
      </w:r>
      <w:r w:rsidR="007E58D3">
        <w:rPr>
          <w:lang w:val="en-GB"/>
        </w:rPr>
        <w:t>‘</w:t>
      </w:r>
      <w:r w:rsidR="00CC2F0C">
        <w:rPr>
          <w:lang w:val="en-GB"/>
        </w:rPr>
        <w:t>capacity</w:t>
      </w:r>
      <w:r w:rsidR="007E58D3">
        <w:rPr>
          <w:lang w:val="en-GB"/>
        </w:rPr>
        <w:t>’</w:t>
      </w:r>
      <w:r w:rsidR="005C1C0A">
        <w:rPr>
          <w:lang w:val="en-GB"/>
        </w:rPr>
        <w:t xml:space="preserve"> needs to be addressed</w:t>
      </w:r>
      <w:r w:rsidR="00E15B99">
        <w:rPr>
          <w:lang w:val="en-GB"/>
        </w:rPr>
        <w:t xml:space="preserve"> in ways that few organisations are capable to do on their own</w:t>
      </w:r>
      <w:r w:rsidR="005C1C0A">
        <w:rPr>
          <w:lang w:val="en-GB"/>
        </w:rPr>
        <w:t>.</w:t>
      </w:r>
    </w:p>
    <w:p w:rsidR="005C1C0A" w:rsidRDefault="005C1C0A">
      <w:pPr>
        <w:rPr>
          <w:lang w:val="en-GB"/>
        </w:rPr>
      </w:pPr>
      <w:r>
        <w:rPr>
          <w:lang w:val="en-GB"/>
        </w:rPr>
        <w:t xml:space="preserve">A </w:t>
      </w:r>
      <w:r w:rsidR="003D4BC6">
        <w:rPr>
          <w:lang w:val="en-GB"/>
        </w:rPr>
        <w:t xml:space="preserve">few general advices </w:t>
      </w:r>
      <w:r w:rsidR="00F57FF1">
        <w:rPr>
          <w:lang w:val="en-GB"/>
        </w:rPr>
        <w:t>does provide valuable clues</w:t>
      </w:r>
      <w:r w:rsidR="00250A70">
        <w:rPr>
          <w:lang w:val="en-GB"/>
        </w:rPr>
        <w:t>, like</w:t>
      </w:r>
      <w:r>
        <w:rPr>
          <w:lang w:val="en-GB"/>
        </w:rPr>
        <w:t>:</w:t>
      </w:r>
    </w:p>
    <w:p w:rsidR="005C1C0A" w:rsidRDefault="005C1C0A" w:rsidP="005C1C0A">
      <w:pPr>
        <w:pStyle w:val="Listeafsnit"/>
        <w:numPr>
          <w:ilvl w:val="0"/>
          <w:numId w:val="1"/>
        </w:numPr>
        <w:rPr>
          <w:lang w:val="en-GB"/>
        </w:rPr>
      </w:pPr>
      <w:r>
        <w:rPr>
          <w:lang w:val="en-GB"/>
        </w:rPr>
        <w:t xml:space="preserve">Start publishing the data used </w:t>
      </w:r>
      <w:r w:rsidR="00250A70">
        <w:rPr>
          <w:lang w:val="en-GB"/>
        </w:rPr>
        <w:t xml:space="preserve">internally </w:t>
      </w:r>
      <w:r>
        <w:rPr>
          <w:lang w:val="en-GB"/>
        </w:rPr>
        <w:t>by your</w:t>
      </w:r>
      <w:r w:rsidR="00250A70">
        <w:rPr>
          <w:lang w:val="en-GB"/>
        </w:rPr>
        <w:t xml:space="preserve"> own organisation, for </w:t>
      </w:r>
      <w:r>
        <w:rPr>
          <w:lang w:val="en-GB"/>
        </w:rPr>
        <w:t>management purposes</w:t>
      </w:r>
      <w:r w:rsidR="003D4BC6">
        <w:rPr>
          <w:lang w:val="en-GB"/>
        </w:rPr>
        <w:t>;</w:t>
      </w:r>
      <w:r>
        <w:rPr>
          <w:lang w:val="en-GB"/>
        </w:rPr>
        <w:t xml:space="preserve"> the </w:t>
      </w:r>
      <w:r w:rsidR="00144CA3">
        <w:rPr>
          <w:lang w:val="en-GB"/>
        </w:rPr>
        <w:t>existing attention to these data is the best guarantee for their quality</w:t>
      </w:r>
      <w:r w:rsidR="00250A70">
        <w:rPr>
          <w:lang w:val="en-GB"/>
        </w:rPr>
        <w:t>, and thus their usefulness</w:t>
      </w:r>
    </w:p>
    <w:p w:rsidR="00144CA3" w:rsidRPr="005C1C0A" w:rsidRDefault="00144CA3" w:rsidP="005C1C0A">
      <w:pPr>
        <w:pStyle w:val="Listeafsnit"/>
        <w:numPr>
          <w:ilvl w:val="0"/>
          <w:numId w:val="1"/>
        </w:numPr>
        <w:rPr>
          <w:lang w:val="en-GB"/>
        </w:rPr>
      </w:pPr>
      <w:r>
        <w:rPr>
          <w:lang w:val="en-GB"/>
        </w:rPr>
        <w:t xml:space="preserve">Use your own IATI-data, e.g. designing your IATI-publication to feed the data needed for maintenance of organisational </w:t>
      </w:r>
      <w:r w:rsidR="00E15B99">
        <w:rPr>
          <w:lang w:val="en-GB"/>
        </w:rPr>
        <w:t>web pages</w:t>
      </w:r>
      <w:r w:rsidR="003D4BC6">
        <w:rPr>
          <w:lang w:val="en-GB"/>
        </w:rPr>
        <w:t>;</w:t>
      </w:r>
      <w:r>
        <w:rPr>
          <w:lang w:val="en-GB"/>
        </w:rPr>
        <w:t xml:space="preserve"> this </w:t>
      </w:r>
      <w:r w:rsidR="003D4BC6">
        <w:rPr>
          <w:lang w:val="en-GB"/>
        </w:rPr>
        <w:t>will not just reduce the</w:t>
      </w:r>
      <w:r>
        <w:rPr>
          <w:lang w:val="en-GB"/>
        </w:rPr>
        <w:t xml:space="preserve"> o</w:t>
      </w:r>
      <w:r w:rsidR="00250A70">
        <w:rPr>
          <w:lang w:val="en-GB"/>
        </w:rPr>
        <w:t>verhead cost</w:t>
      </w:r>
      <w:r>
        <w:rPr>
          <w:lang w:val="en-GB"/>
        </w:rPr>
        <w:t>, but a</w:t>
      </w:r>
      <w:r w:rsidR="00E15B99">
        <w:rPr>
          <w:lang w:val="en-GB"/>
        </w:rPr>
        <w:t xml:space="preserve">lso allow you </w:t>
      </w:r>
      <w:r w:rsidR="006858B7">
        <w:rPr>
          <w:lang w:val="en-GB"/>
        </w:rPr>
        <w:t xml:space="preserve">better chances </w:t>
      </w:r>
      <w:r w:rsidR="00E15B99">
        <w:rPr>
          <w:lang w:val="en-GB"/>
        </w:rPr>
        <w:t>to</w:t>
      </w:r>
      <w:r>
        <w:rPr>
          <w:lang w:val="en-GB"/>
        </w:rPr>
        <w:t xml:space="preserve"> recognise errors</w:t>
      </w:r>
      <w:r w:rsidR="007E58D3">
        <w:rPr>
          <w:lang w:val="en-GB"/>
        </w:rPr>
        <w:t xml:space="preserve"> in the data feed</w:t>
      </w:r>
      <w:r w:rsidR="00250A70">
        <w:rPr>
          <w:lang w:val="en-GB"/>
        </w:rPr>
        <w:t>, and errors will occur.</w:t>
      </w:r>
    </w:p>
    <w:p w:rsidR="006F4781" w:rsidRDefault="009B5977">
      <w:pPr>
        <w:rPr>
          <w:lang w:val="en-GB"/>
        </w:rPr>
      </w:pPr>
      <w:r>
        <w:rPr>
          <w:lang w:val="en-GB"/>
        </w:rPr>
        <w:t>This document intends to take the consi</w:t>
      </w:r>
      <w:r w:rsidR="009A65C0">
        <w:rPr>
          <w:lang w:val="en-GB"/>
        </w:rPr>
        <w:t>deration of relevant advices a bit further, in the context of the ongoing pilot-phase of IATI-reporting by strategic partners in Denmark.</w:t>
      </w:r>
    </w:p>
    <w:p w:rsidR="003236B2" w:rsidRDefault="000E358C">
      <w:pPr>
        <w:rPr>
          <w:lang w:val="en-GB"/>
        </w:rPr>
      </w:pPr>
      <w:r>
        <w:rPr>
          <w:lang w:val="en-GB"/>
        </w:rPr>
        <w:t>The ambition is to identify a minimal set of strict ‘requirements’</w:t>
      </w:r>
      <w:r w:rsidR="00F72C9D">
        <w:rPr>
          <w:lang w:val="en-GB"/>
        </w:rPr>
        <w:t>, but to add</w:t>
      </w:r>
      <w:r>
        <w:rPr>
          <w:lang w:val="en-GB"/>
        </w:rPr>
        <w:t xml:space="preserve"> questions an</w:t>
      </w:r>
      <w:r w:rsidR="00F72C9D">
        <w:rPr>
          <w:lang w:val="en-GB"/>
        </w:rPr>
        <w:t>d principles to guide partners to realise how their, uniquely shape</w:t>
      </w:r>
      <w:r w:rsidR="00E15B99">
        <w:rPr>
          <w:lang w:val="en-GB"/>
        </w:rPr>
        <w:t>d organisation is best presenting itself</w:t>
      </w:r>
      <w:r w:rsidR="00CE18F7">
        <w:rPr>
          <w:lang w:val="en-GB"/>
        </w:rPr>
        <w:t xml:space="preserve"> in the IATI format while allowing and enabling linkages to data from other sources.</w:t>
      </w:r>
    </w:p>
    <w:p w:rsidR="00FE3FEE" w:rsidRDefault="00FE3FEE">
      <w:pPr>
        <w:rPr>
          <w:lang w:val="en-GB"/>
        </w:rPr>
      </w:pPr>
      <w:r>
        <w:rPr>
          <w:lang w:val="en-GB"/>
        </w:rPr>
        <w:t>Recognising that IATI, the standard, i</w:t>
      </w:r>
      <w:r w:rsidR="007E58D3">
        <w:rPr>
          <w:lang w:val="en-GB"/>
        </w:rPr>
        <w:t>s and will continue to be add</w:t>
      </w:r>
      <w:r>
        <w:rPr>
          <w:lang w:val="en-GB"/>
        </w:rPr>
        <w:t xml:space="preserve">ing new opportunities for digital publication, the aim is not to consider </w:t>
      </w:r>
      <w:r w:rsidR="007E58D3">
        <w:rPr>
          <w:lang w:val="en-GB"/>
        </w:rPr>
        <w:t>‘</w:t>
      </w:r>
      <w:r>
        <w:rPr>
          <w:lang w:val="en-GB"/>
        </w:rPr>
        <w:t>complete</w:t>
      </w:r>
      <w:r w:rsidR="007E58D3">
        <w:rPr>
          <w:lang w:val="en-GB"/>
        </w:rPr>
        <w:t>’</w:t>
      </w:r>
      <w:r>
        <w:rPr>
          <w:lang w:val="en-GB"/>
        </w:rPr>
        <w:t xml:space="preserve"> reporting as the end target, but rather to use the common standard as a vehicle for communication. Denmark</w:t>
      </w:r>
      <w:r w:rsidR="00B07973">
        <w:rPr>
          <w:lang w:val="en-GB"/>
        </w:rPr>
        <w:t>’</w:t>
      </w:r>
      <w:r>
        <w:rPr>
          <w:lang w:val="en-GB"/>
        </w:rPr>
        <w:t xml:space="preserve">s partners are </w:t>
      </w:r>
      <w:r w:rsidR="00B07973">
        <w:rPr>
          <w:lang w:val="en-GB"/>
        </w:rPr>
        <w:t>obliged to report according to guidelines and other instructions; the task ahead is to make each organisation responsible for own decisions on when to convert their reporting into IATI format. Choosing this approach, IATI-reporting will hardly require any additional effort, but will largely be a question of doing the same in a different manner.</w:t>
      </w:r>
    </w:p>
    <w:p w:rsidR="00B07973" w:rsidRDefault="00B07973">
      <w:pPr>
        <w:rPr>
          <w:lang w:val="en-GB"/>
        </w:rPr>
      </w:pPr>
      <w:r>
        <w:rPr>
          <w:lang w:val="en-GB"/>
        </w:rPr>
        <w:t xml:space="preserve">The digitalisation of </w:t>
      </w:r>
      <w:r w:rsidR="00CE18F7">
        <w:rPr>
          <w:lang w:val="en-GB"/>
        </w:rPr>
        <w:t>reporting procedures is likely</w:t>
      </w:r>
      <w:r>
        <w:rPr>
          <w:lang w:val="en-GB"/>
        </w:rPr>
        <w:t xml:space="preserve"> to challenge</w:t>
      </w:r>
      <w:r w:rsidR="00DB1A87">
        <w:rPr>
          <w:lang w:val="en-GB"/>
        </w:rPr>
        <w:t xml:space="preserve"> existing guidelines and instructions. This is one reason for Denmark to opt for an undramatic, phased approach.</w:t>
      </w:r>
    </w:p>
    <w:p w:rsidR="003236B2" w:rsidRDefault="003236B2">
      <w:pPr>
        <w:rPr>
          <w:lang w:val="en-GB"/>
        </w:rPr>
      </w:pPr>
      <w:r>
        <w:rPr>
          <w:lang w:val="en-GB"/>
        </w:rPr>
        <w:br w:type="page"/>
      </w:r>
    </w:p>
    <w:p w:rsidR="003236B2" w:rsidRPr="00134325" w:rsidRDefault="003236B2">
      <w:pPr>
        <w:rPr>
          <w:b/>
          <w:lang w:val="en-GB"/>
        </w:rPr>
      </w:pPr>
      <w:r w:rsidRPr="00134325">
        <w:rPr>
          <w:b/>
          <w:lang w:val="en-GB"/>
        </w:rPr>
        <w:lastRenderedPageBreak/>
        <w:t>Modality Matters</w:t>
      </w:r>
    </w:p>
    <w:p w:rsidR="008E2AAA" w:rsidRDefault="007F30A7">
      <w:pPr>
        <w:rPr>
          <w:lang w:val="en-GB"/>
        </w:rPr>
      </w:pPr>
      <w:r>
        <w:rPr>
          <w:lang w:val="en-GB"/>
        </w:rPr>
        <w:t>The cooperation between partners can take many forms. For t</w:t>
      </w:r>
      <w:r w:rsidR="006C4F7F">
        <w:rPr>
          <w:lang w:val="en-GB"/>
        </w:rPr>
        <w:t>he sake of exemplification, three</w:t>
      </w:r>
      <w:r>
        <w:rPr>
          <w:lang w:val="en-GB"/>
        </w:rPr>
        <w:t xml:space="preserve"> modalities are </w:t>
      </w:r>
      <w:r w:rsidR="00C26D97">
        <w:rPr>
          <w:lang w:val="en-GB"/>
        </w:rPr>
        <w:t xml:space="preserve">however </w:t>
      </w:r>
      <w:r>
        <w:rPr>
          <w:lang w:val="en-GB"/>
        </w:rPr>
        <w:t>enough in this paper:</w:t>
      </w:r>
    </w:p>
    <w:p w:rsidR="007F30A7" w:rsidRDefault="00C26D97" w:rsidP="007F30A7">
      <w:pPr>
        <w:pStyle w:val="Listeafsnit"/>
        <w:numPr>
          <w:ilvl w:val="0"/>
          <w:numId w:val="2"/>
        </w:numPr>
        <w:rPr>
          <w:lang w:val="en-GB"/>
        </w:rPr>
      </w:pPr>
      <w:r>
        <w:rPr>
          <w:lang w:val="en-GB"/>
        </w:rPr>
        <w:t>Core contributions</w:t>
      </w:r>
    </w:p>
    <w:p w:rsidR="00C26D97" w:rsidRDefault="00C26D97" w:rsidP="007F30A7">
      <w:pPr>
        <w:pStyle w:val="Listeafsnit"/>
        <w:numPr>
          <w:ilvl w:val="0"/>
          <w:numId w:val="2"/>
        </w:numPr>
        <w:rPr>
          <w:lang w:val="en-GB"/>
        </w:rPr>
      </w:pPr>
      <w:r>
        <w:rPr>
          <w:lang w:val="en-GB"/>
        </w:rPr>
        <w:t>Loosely earmarked contributions</w:t>
      </w:r>
    </w:p>
    <w:p w:rsidR="00C26D97" w:rsidRPr="007F30A7" w:rsidRDefault="00C26D97" w:rsidP="007F30A7">
      <w:pPr>
        <w:pStyle w:val="Listeafsnit"/>
        <w:numPr>
          <w:ilvl w:val="0"/>
          <w:numId w:val="2"/>
        </w:numPr>
        <w:rPr>
          <w:lang w:val="en-GB"/>
        </w:rPr>
      </w:pPr>
      <w:r>
        <w:rPr>
          <w:lang w:val="en-GB"/>
        </w:rPr>
        <w:t>Project-funding</w:t>
      </w:r>
    </w:p>
    <w:p w:rsidR="003236B2" w:rsidRDefault="00134325">
      <w:pPr>
        <w:rPr>
          <w:lang w:val="en-GB"/>
        </w:rPr>
      </w:pPr>
      <w:r>
        <w:rPr>
          <w:lang w:val="en-GB"/>
        </w:rPr>
        <w:t>Entering into an agreement (</w:t>
      </w:r>
      <w:r w:rsidR="009369F5">
        <w:rPr>
          <w:lang w:val="en-GB"/>
        </w:rPr>
        <w:t>a contract</w:t>
      </w:r>
      <w:r>
        <w:rPr>
          <w:lang w:val="en-GB"/>
        </w:rPr>
        <w:t>,</w:t>
      </w:r>
      <w:r w:rsidR="009369F5">
        <w:rPr>
          <w:lang w:val="en-GB"/>
        </w:rPr>
        <w:t xml:space="preserve"> or whatever is the legal format for entitlement to receive f</w:t>
      </w:r>
      <w:r>
        <w:rPr>
          <w:lang w:val="en-GB"/>
        </w:rPr>
        <w:t>unds for developmental purposes)</w:t>
      </w:r>
      <w:r w:rsidR="009369F5">
        <w:rPr>
          <w:lang w:val="en-GB"/>
        </w:rPr>
        <w:t xml:space="preserve"> the chosen modality will determine th</w:t>
      </w:r>
      <w:r w:rsidR="00C65A58">
        <w:rPr>
          <w:lang w:val="en-GB"/>
        </w:rPr>
        <w:t>e relevant reporting structure in several ways.</w:t>
      </w:r>
    </w:p>
    <w:p w:rsidR="00C65A58" w:rsidRDefault="00C65A58">
      <w:pPr>
        <w:rPr>
          <w:lang w:val="en-GB"/>
        </w:rPr>
      </w:pPr>
      <w:r>
        <w:rPr>
          <w:lang w:val="en-GB"/>
        </w:rPr>
        <w:t xml:space="preserve">Providing </w:t>
      </w:r>
      <w:r w:rsidRPr="006C4F7F">
        <w:rPr>
          <w:b/>
          <w:lang w:val="en-GB"/>
        </w:rPr>
        <w:t>core contributions</w:t>
      </w:r>
      <w:r>
        <w:rPr>
          <w:lang w:val="en-GB"/>
        </w:rPr>
        <w:t xml:space="preserve">, the partner with the </w:t>
      </w:r>
      <w:r w:rsidR="00E020B4">
        <w:rPr>
          <w:lang w:val="en-GB"/>
        </w:rPr>
        <w:t xml:space="preserve">Role 1=Funding has decided to contribute to the core funds of the receiving organisation. Core funding are thus not earmarked in any way, and </w:t>
      </w:r>
      <w:r w:rsidR="00DF567F">
        <w:rPr>
          <w:lang w:val="en-GB"/>
        </w:rPr>
        <w:t>cannot</w:t>
      </w:r>
      <w:r w:rsidR="007E58D3">
        <w:rPr>
          <w:lang w:val="en-GB"/>
        </w:rPr>
        <w:t xml:space="preserve"> </w:t>
      </w:r>
      <w:r w:rsidR="00E020B4">
        <w:rPr>
          <w:lang w:val="en-GB"/>
        </w:rPr>
        <w:t xml:space="preserve">be quoted as contribution to one rather than another, specific activity downstream. In the activity-file of the receiving organisation, there can </w:t>
      </w:r>
      <w:r w:rsidR="00DF567F">
        <w:rPr>
          <w:lang w:val="en-GB"/>
        </w:rPr>
        <w:t>and should only be an</w:t>
      </w:r>
      <w:r w:rsidR="00E020B4">
        <w:rPr>
          <w:lang w:val="en-GB"/>
        </w:rPr>
        <w:t xml:space="preserve"> activity</w:t>
      </w:r>
      <w:r w:rsidR="00AF44ED">
        <w:rPr>
          <w:lang w:val="en-GB"/>
        </w:rPr>
        <w:t xml:space="preserve"> that carries the reporting of</w:t>
      </w:r>
      <w:r w:rsidR="00E020B4">
        <w:rPr>
          <w:lang w:val="en-GB"/>
        </w:rPr>
        <w:t xml:space="preserve"> </w:t>
      </w:r>
      <w:r w:rsidR="00DF567F">
        <w:rPr>
          <w:lang w:val="en-GB"/>
        </w:rPr>
        <w:t xml:space="preserve">transaction-types 13=Incoming pledge, 11=Incoming commitment and </w:t>
      </w:r>
      <w:proofErr w:type="gramStart"/>
      <w:r w:rsidR="00DF567F">
        <w:rPr>
          <w:lang w:val="en-GB"/>
        </w:rPr>
        <w:t>1=</w:t>
      </w:r>
      <w:proofErr w:type="gramEnd"/>
      <w:r w:rsidR="00DF567F">
        <w:rPr>
          <w:lang w:val="en-GB"/>
        </w:rPr>
        <w:t>Incoming Fun</w:t>
      </w:r>
      <w:r w:rsidR="006C4F7F">
        <w:rPr>
          <w:lang w:val="en-GB"/>
        </w:rPr>
        <w:t>ds; no outgoing transactions should</w:t>
      </w:r>
      <w:r w:rsidR="00DF567F">
        <w:rPr>
          <w:lang w:val="en-GB"/>
        </w:rPr>
        <w:t xml:space="preserve"> be reported. In order to ensure valid interpretation of such Activities, it is pertinent for the receiving organisation to report the </w:t>
      </w:r>
      <w:proofErr w:type="spellStart"/>
      <w:r w:rsidR="00DF567F">
        <w:rPr>
          <w:lang w:val="en-GB"/>
        </w:rPr>
        <w:t>aid_type</w:t>
      </w:r>
      <w:proofErr w:type="spellEnd"/>
      <w:r w:rsidR="007E58D3">
        <w:rPr>
          <w:lang w:val="en-GB"/>
        </w:rPr>
        <w:t>, as well as the reference to Funding Organisation, and the relevant activity in the activity-file of this organisation</w:t>
      </w:r>
      <w:r w:rsidR="00DF567F">
        <w:rPr>
          <w:lang w:val="en-GB"/>
        </w:rPr>
        <w:t>.</w:t>
      </w:r>
    </w:p>
    <w:p w:rsidR="00AF44ED" w:rsidRDefault="00AF44ED">
      <w:pPr>
        <w:rPr>
          <w:lang w:val="en-GB"/>
        </w:rPr>
      </w:pPr>
      <w:r>
        <w:rPr>
          <w:lang w:val="en-GB"/>
        </w:rPr>
        <w:t xml:space="preserve">Providing </w:t>
      </w:r>
      <w:proofErr w:type="gramStart"/>
      <w:r w:rsidRPr="006C4F7F">
        <w:rPr>
          <w:b/>
          <w:lang w:val="en-GB"/>
        </w:rPr>
        <w:t>project-funding</w:t>
      </w:r>
      <w:proofErr w:type="gramEnd"/>
      <w:r>
        <w:rPr>
          <w:lang w:val="en-GB"/>
        </w:rPr>
        <w:t xml:space="preserve">, the partner with Role 1=Funding has chosen to finance </w:t>
      </w:r>
      <w:r w:rsidR="0091380C">
        <w:rPr>
          <w:lang w:val="en-GB"/>
        </w:rPr>
        <w:t xml:space="preserve">one or more </w:t>
      </w:r>
      <w:r>
        <w:rPr>
          <w:lang w:val="en-GB"/>
        </w:rPr>
        <w:t xml:space="preserve">very specific </w:t>
      </w:r>
      <w:r w:rsidR="0091380C">
        <w:rPr>
          <w:lang w:val="en-GB"/>
        </w:rPr>
        <w:t>activity/</w:t>
      </w:r>
      <w:r>
        <w:rPr>
          <w:lang w:val="en-GB"/>
        </w:rPr>
        <w:t>activities</w:t>
      </w:r>
      <w:r w:rsidR="0091380C">
        <w:rPr>
          <w:lang w:val="en-GB"/>
        </w:rPr>
        <w:t xml:space="preserve">, either carried out or managed by the immediate partner (thus having either Role 4=Implementing or Role 3=Extending). </w:t>
      </w:r>
      <w:r w:rsidR="00386862">
        <w:rPr>
          <w:lang w:val="en-GB"/>
        </w:rPr>
        <w:t xml:space="preserve">In the first instance, most incoming funds </w:t>
      </w:r>
      <w:proofErr w:type="gramStart"/>
      <w:r w:rsidR="00386862">
        <w:rPr>
          <w:lang w:val="en-GB"/>
        </w:rPr>
        <w:t>are expected to be consumed</w:t>
      </w:r>
      <w:proofErr w:type="gramEnd"/>
      <w:r w:rsidR="00386862">
        <w:rPr>
          <w:lang w:val="en-GB"/>
        </w:rPr>
        <w:t xml:space="preserve"> by expenditures, in the other instance it would largely be disbursements to the next partner. In </w:t>
      </w:r>
      <w:proofErr w:type="spellStart"/>
      <w:r w:rsidR="00386862">
        <w:rPr>
          <w:lang w:val="en-GB"/>
        </w:rPr>
        <w:t>it’s</w:t>
      </w:r>
      <w:proofErr w:type="spellEnd"/>
      <w:r w:rsidR="00386862">
        <w:rPr>
          <w:lang w:val="en-GB"/>
        </w:rPr>
        <w:t xml:space="preserve"> simplest form, this structure resemble a chain w</w:t>
      </w:r>
      <w:r w:rsidR="00452677">
        <w:rPr>
          <w:lang w:val="en-GB"/>
        </w:rPr>
        <w:t>here data</w:t>
      </w:r>
      <w:r w:rsidR="00386862">
        <w:rPr>
          <w:lang w:val="en-GB"/>
        </w:rPr>
        <w:t xml:space="preserve"> from one partner must fit </w:t>
      </w:r>
      <w:r w:rsidR="00452677">
        <w:rPr>
          <w:lang w:val="en-GB"/>
        </w:rPr>
        <w:t xml:space="preserve">data from another, enabling digital transparency all the way from one or more ultimate funding partners to one or more </w:t>
      </w:r>
      <w:r w:rsidR="007E58D3">
        <w:rPr>
          <w:lang w:val="en-GB"/>
        </w:rPr>
        <w:t>ultimate implementing ones. However,</w:t>
      </w:r>
      <w:r w:rsidR="00452677">
        <w:rPr>
          <w:lang w:val="en-GB"/>
        </w:rPr>
        <w:t xml:space="preserve"> considering the other modalities, it is more feasible to conceptualise it as a ‘web’</w:t>
      </w:r>
      <w:r w:rsidR="007E58D3">
        <w:rPr>
          <w:lang w:val="en-GB"/>
        </w:rPr>
        <w:t xml:space="preserve"> rather than a chain</w:t>
      </w:r>
      <w:r w:rsidR="00452677">
        <w:rPr>
          <w:lang w:val="en-GB"/>
        </w:rPr>
        <w:t>.</w:t>
      </w:r>
    </w:p>
    <w:p w:rsidR="00FD04CD" w:rsidRDefault="00FD04CD">
      <w:pPr>
        <w:rPr>
          <w:lang w:val="en-GB"/>
        </w:rPr>
      </w:pPr>
      <w:r>
        <w:rPr>
          <w:lang w:val="en-GB"/>
        </w:rPr>
        <w:t xml:space="preserve">Providing </w:t>
      </w:r>
      <w:r w:rsidR="00D03612" w:rsidRPr="006C4F7F">
        <w:rPr>
          <w:b/>
          <w:lang w:val="en-GB"/>
        </w:rPr>
        <w:t>loosely earmarked funds</w:t>
      </w:r>
      <w:r>
        <w:rPr>
          <w:lang w:val="en-GB"/>
        </w:rPr>
        <w:t xml:space="preserve"> is a modality that tends to foster misunderstandings. </w:t>
      </w:r>
      <w:r w:rsidR="00D03612">
        <w:rPr>
          <w:lang w:val="en-GB"/>
        </w:rPr>
        <w:t>Any earmarking of any sort implies the need to track and monitor the utilisation</w:t>
      </w:r>
      <w:r w:rsidR="00BB3CD0">
        <w:rPr>
          <w:lang w:val="en-GB"/>
        </w:rPr>
        <w:t xml:space="preserve"> of the contribution</w:t>
      </w:r>
      <w:r w:rsidR="00D03612">
        <w:rPr>
          <w:lang w:val="en-GB"/>
        </w:rPr>
        <w:t xml:space="preserve">. Loosely earmarked funds calls for another kind of reporting than the project-funding modality, but it </w:t>
      </w:r>
      <w:proofErr w:type="gramStart"/>
      <w:r w:rsidR="00D03612">
        <w:rPr>
          <w:lang w:val="en-GB"/>
        </w:rPr>
        <w:t>cannot be confused</w:t>
      </w:r>
      <w:proofErr w:type="gramEnd"/>
      <w:r w:rsidR="00D03612">
        <w:rPr>
          <w:lang w:val="en-GB"/>
        </w:rPr>
        <w:t xml:space="preserve"> with core-funding. Providing funds for implementation of humanitarian activities is an </w:t>
      </w:r>
      <w:r w:rsidR="00A26334">
        <w:rPr>
          <w:lang w:val="en-GB"/>
        </w:rPr>
        <w:t>example; w</w:t>
      </w:r>
      <w:r w:rsidR="00D03612">
        <w:rPr>
          <w:lang w:val="en-GB"/>
        </w:rPr>
        <w:t>hether humanitarian activities cons</w:t>
      </w:r>
      <w:r w:rsidR="00A26334">
        <w:rPr>
          <w:lang w:val="en-GB"/>
        </w:rPr>
        <w:t>titutes 10 or 90 percent of the</w:t>
      </w:r>
      <w:r w:rsidR="00D03612">
        <w:rPr>
          <w:lang w:val="en-GB"/>
        </w:rPr>
        <w:t xml:space="preserve"> </w:t>
      </w:r>
      <w:r w:rsidR="00A26334">
        <w:rPr>
          <w:lang w:val="en-GB"/>
        </w:rPr>
        <w:t>portfolio of the receiving organisation, such loosely earmarked contributions do not resemble core funding.</w:t>
      </w:r>
      <w:r w:rsidR="008A0DA8">
        <w:rPr>
          <w:lang w:val="en-GB"/>
        </w:rPr>
        <w:t xml:space="preserve"> </w:t>
      </w:r>
    </w:p>
    <w:p w:rsidR="008A0DA8" w:rsidRDefault="008A0DA8">
      <w:pPr>
        <w:rPr>
          <w:lang w:val="en-GB"/>
        </w:rPr>
      </w:pPr>
    </w:p>
    <w:p w:rsidR="008A0DA8" w:rsidRPr="008A0DA8" w:rsidRDefault="008A0DA8">
      <w:pPr>
        <w:rPr>
          <w:b/>
          <w:lang w:val="en-GB"/>
        </w:rPr>
      </w:pPr>
      <w:r w:rsidRPr="008A0DA8">
        <w:rPr>
          <w:b/>
          <w:lang w:val="en-GB"/>
        </w:rPr>
        <w:t xml:space="preserve">Planning and </w:t>
      </w:r>
      <w:proofErr w:type="spellStart"/>
      <w:r w:rsidRPr="008A0DA8">
        <w:rPr>
          <w:b/>
          <w:lang w:val="en-GB"/>
        </w:rPr>
        <w:t>Budgetting</w:t>
      </w:r>
      <w:proofErr w:type="spellEnd"/>
      <w:r w:rsidRPr="008A0DA8">
        <w:rPr>
          <w:b/>
          <w:lang w:val="en-GB"/>
        </w:rPr>
        <w:t xml:space="preserve"> matters</w:t>
      </w:r>
    </w:p>
    <w:p w:rsidR="003F59FE" w:rsidRDefault="007E58D3">
      <w:pPr>
        <w:rPr>
          <w:lang w:val="en-GB"/>
        </w:rPr>
      </w:pPr>
      <w:r>
        <w:rPr>
          <w:lang w:val="en-GB"/>
        </w:rPr>
        <w:t>Finding the project modality well descr</w:t>
      </w:r>
      <w:r w:rsidR="00606BAF">
        <w:rPr>
          <w:lang w:val="en-GB"/>
        </w:rPr>
        <w:t>ibed in existing guidelines</w:t>
      </w:r>
      <w:r>
        <w:rPr>
          <w:lang w:val="en-GB"/>
        </w:rPr>
        <w:t xml:space="preserve">, this document focuses on the other three examples. </w:t>
      </w:r>
      <w:r w:rsidR="00606BAF">
        <w:rPr>
          <w:lang w:val="en-GB"/>
        </w:rPr>
        <w:t xml:space="preserve">They share the need to </w:t>
      </w:r>
      <w:proofErr w:type="gramStart"/>
      <w:r w:rsidR="00606BAF">
        <w:rPr>
          <w:lang w:val="en-GB"/>
        </w:rPr>
        <w:t>be published</w:t>
      </w:r>
      <w:proofErr w:type="gramEnd"/>
      <w:r w:rsidR="00606BAF">
        <w:rPr>
          <w:lang w:val="en-GB"/>
        </w:rPr>
        <w:t xml:space="preserve"> in a way that anchors the information firmly in the overall planning and budgeting decisions of the organisation. The real danger is that IATI-reporters starts to re-define </w:t>
      </w:r>
      <w:r w:rsidR="0037279E">
        <w:rPr>
          <w:lang w:val="en-GB"/>
        </w:rPr>
        <w:t xml:space="preserve">or re-enact </w:t>
      </w:r>
      <w:r w:rsidR="00606BAF">
        <w:rPr>
          <w:lang w:val="en-GB"/>
        </w:rPr>
        <w:t>their budgeting pract</w:t>
      </w:r>
      <w:r w:rsidR="003F59FE">
        <w:rPr>
          <w:lang w:val="en-GB"/>
        </w:rPr>
        <w:t>ice in IATI activity file format</w:t>
      </w:r>
      <w:r w:rsidR="00BB3CD0">
        <w:rPr>
          <w:lang w:val="en-GB"/>
        </w:rPr>
        <w:t>, in the shape of ‘internal flows’; efforts are more adequately</w:t>
      </w:r>
      <w:r w:rsidR="00A46601">
        <w:rPr>
          <w:lang w:val="en-GB"/>
        </w:rPr>
        <w:t xml:space="preserve"> invested in the </w:t>
      </w:r>
      <w:r w:rsidR="00A46601">
        <w:rPr>
          <w:lang w:val="en-GB"/>
        </w:rPr>
        <w:lastRenderedPageBreak/>
        <w:t>reflection of the organisations existing budget-structure in</w:t>
      </w:r>
      <w:r w:rsidR="003F59FE">
        <w:rPr>
          <w:lang w:val="en-GB"/>
        </w:rPr>
        <w:t xml:space="preserve"> the budget element of the organisation-file</w:t>
      </w:r>
      <w:r w:rsidR="00A46601">
        <w:rPr>
          <w:lang w:val="en-GB"/>
        </w:rPr>
        <w:t>:</w:t>
      </w:r>
    </w:p>
    <w:p w:rsidR="00005805" w:rsidRPr="00A46601" w:rsidRDefault="00005805" w:rsidP="00A46601">
      <w:pPr>
        <w:pStyle w:val="Listeafsnit"/>
        <w:numPr>
          <w:ilvl w:val="0"/>
          <w:numId w:val="11"/>
        </w:numPr>
        <w:rPr>
          <w:lang w:val="en-GB"/>
        </w:rPr>
      </w:pPr>
      <w:r w:rsidRPr="00A46601">
        <w:rPr>
          <w:lang w:val="en-GB"/>
        </w:rPr>
        <w:t xml:space="preserve">Core Contributions are simple, in this regard. The incoming transactions </w:t>
      </w:r>
      <w:r w:rsidR="00A46601">
        <w:rPr>
          <w:lang w:val="en-GB"/>
        </w:rPr>
        <w:t>(</w:t>
      </w:r>
      <w:r w:rsidRPr="00A46601">
        <w:rPr>
          <w:lang w:val="en-GB"/>
        </w:rPr>
        <w:t>reported in the activity-file</w:t>
      </w:r>
      <w:r w:rsidR="00A46601">
        <w:rPr>
          <w:lang w:val="en-GB"/>
        </w:rPr>
        <w:t>)</w:t>
      </w:r>
      <w:r w:rsidRPr="00A46601">
        <w:rPr>
          <w:lang w:val="en-GB"/>
        </w:rPr>
        <w:t xml:space="preserve"> needs no further explanation – they are general contributions to all elements of the budget presented in the organisation file, since they become indistinguishable part of the very core.</w:t>
      </w:r>
    </w:p>
    <w:p w:rsidR="00B26FEE" w:rsidRPr="00616466" w:rsidRDefault="00C55D0C" w:rsidP="00616466">
      <w:pPr>
        <w:pStyle w:val="Listeafsnit"/>
        <w:numPr>
          <w:ilvl w:val="0"/>
          <w:numId w:val="11"/>
        </w:numPr>
        <w:rPr>
          <w:lang w:val="en-GB"/>
        </w:rPr>
      </w:pPr>
      <w:r w:rsidRPr="00616466">
        <w:rPr>
          <w:lang w:val="en-GB"/>
        </w:rPr>
        <w:t>Loo</w:t>
      </w:r>
      <w:r w:rsidR="00616466">
        <w:rPr>
          <w:lang w:val="en-GB"/>
        </w:rPr>
        <w:t xml:space="preserve">sely earmarked contributions </w:t>
      </w:r>
      <w:proofErr w:type="gramStart"/>
      <w:r w:rsidR="00616466">
        <w:rPr>
          <w:lang w:val="en-GB"/>
        </w:rPr>
        <w:t>must</w:t>
      </w:r>
      <w:r w:rsidRPr="00616466">
        <w:rPr>
          <w:lang w:val="en-GB"/>
        </w:rPr>
        <w:t xml:space="preserve"> be mapped</w:t>
      </w:r>
      <w:proofErr w:type="gramEnd"/>
      <w:r w:rsidRPr="00616466">
        <w:rPr>
          <w:lang w:val="en-GB"/>
        </w:rPr>
        <w:t xml:space="preserve"> to the relevant section of the budget of the receiving organisation</w:t>
      </w:r>
      <w:r w:rsidR="00616466">
        <w:rPr>
          <w:lang w:val="en-GB"/>
        </w:rPr>
        <w:t>. Publishing an Activity, that only</w:t>
      </w:r>
      <w:r w:rsidRPr="00616466">
        <w:rPr>
          <w:lang w:val="en-GB"/>
        </w:rPr>
        <w:t xml:space="preserve"> </w:t>
      </w:r>
      <w:r w:rsidR="00616466">
        <w:rPr>
          <w:lang w:val="en-GB"/>
        </w:rPr>
        <w:t xml:space="preserve">holds incoming transactions, </w:t>
      </w:r>
      <w:r w:rsidRPr="00616466">
        <w:rPr>
          <w:lang w:val="en-GB"/>
        </w:rPr>
        <w:t xml:space="preserve">the </w:t>
      </w:r>
      <w:r w:rsidR="00B33123" w:rsidRPr="00616466">
        <w:rPr>
          <w:lang w:val="en-GB"/>
        </w:rPr>
        <w:t>budget Identifier tag (using budget identifier vocabulary=4)</w:t>
      </w:r>
      <w:r w:rsidR="001B08F8">
        <w:rPr>
          <w:lang w:val="en-GB"/>
        </w:rPr>
        <w:t xml:space="preserve"> can</w:t>
      </w:r>
      <w:r w:rsidR="00B33123" w:rsidRPr="00616466">
        <w:rPr>
          <w:lang w:val="en-GB"/>
        </w:rPr>
        <w:t xml:space="preserve"> constitute a key, </w:t>
      </w:r>
      <w:r w:rsidR="001B08F8">
        <w:rPr>
          <w:lang w:val="en-GB"/>
        </w:rPr>
        <w:t>identifying</w:t>
      </w:r>
      <w:r w:rsidR="00B33123" w:rsidRPr="00616466">
        <w:rPr>
          <w:lang w:val="en-GB"/>
        </w:rPr>
        <w:t xml:space="preserve"> the budget-line tag in the organisation-file</w:t>
      </w:r>
      <w:r w:rsidR="001B08F8">
        <w:rPr>
          <w:lang w:val="en-GB"/>
        </w:rPr>
        <w:t xml:space="preserve">. The same key </w:t>
      </w:r>
      <w:proofErr w:type="gramStart"/>
      <w:r w:rsidR="001B08F8">
        <w:rPr>
          <w:lang w:val="en-GB"/>
        </w:rPr>
        <w:t>can be applied</w:t>
      </w:r>
      <w:proofErr w:type="gramEnd"/>
      <w:r w:rsidR="00B33123" w:rsidRPr="00616466">
        <w:rPr>
          <w:lang w:val="en-GB"/>
        </w:rPr>
        <w:t xml:space="preserve"> in all activities</w:t>
      </w:r>
      <w:r w:rsidR="001B08F8">
        <w:rPr>
          <w:lang w:val="en-GB"/>
        </w:rPr>
        <w:t>,</w:t>
      </w:r>
      <w:r w:rsidR="00B33123" w:rsidRPr="00616466">
        <w:rPr>
          <w:lang w:val="en-GB"/>
        </w:rPr>
        <w:t xml:space="preserve"> under this budget-line</w:t>
      </w:r>
      <w:r w:rsidR="001B08F8">
        <w:rPr>
          <w:lang w:val="en-GB"/>
        </w:rPr>
        <w:t>,</w:t>
      </w:r>
      <w:r w:rsidR="00B33123" w:rsidRPr="00616466">
        <w:rPr>
          <w:lang w:val="en-GB"/>
        </w:rPr>
        <w:t xml:space="preserve"> that carries outflow-transactions</w:t>
      </w:r>
      <w:r w:rsidR="00B26FEE" w:rsidRPr="00616466">
        <w:rPr>
          <w:lang w:val="en-GB"/>
        </w:rPr>
        <w:t>.</w:t>
      </w:r>
    </w:p>
    <w:p w:rsidR="00B26FEE" w:rsidRDefault="00B26FEE" w:rsidP="00B26FEE">
      <w:pPr>
        <w:rPr>
          <w:lang w:val="en-GB"/>
        </w:rPr>
      </w:pPr>
      <w:r>
        <w:rPr>
          <w:lang w:val="en-GB"/>
        </w:rPr>
        <w:t>Without any ‘internal flows’ within the activity-file of the organisation, these guidelines would make it possible to obtain optimal transparency regarding the funding of any individual activity, and thus allow analysts to consider how the ultimate results depends on the behaviour of individual partners:</w:t>
      </w:r>
    </w:p>
    <w:p w:rsidR="005F3907" w:rsidRDefault="00B26FEE" w:rsidP="00B26FEE">
      <w:pPr>
        <w:pStyle w:val="Listeafsnit"/>
        <w:numPr>
          <w:ilvl w:val="0"/>
          <w:numId w:val="7"/>
        </w:numPr>
        <w:ind w:left="993"/>
        <w:rPr>
          <w:lang w:val="en-GB"/>
        </w:rPr>
      </w:pPr>
      <w:proofErr w:type="gramStart"/>
      <w:r>
        <w:rPr>
          <w:lang w:val="en-GB"/>
        </w:rPr>
        <w:t>Project-funding</w:t>
      </w:r>
      <w:proofErr w:type="gramEnd"/>
      <w:r>
        <w:rPr>
          <w:lang w:val="en-GB"/>
        </w:rPr>
        <w:t xml:space="preserve"> is published as incoming transactions, at the level of the individual</w:t>
      </w:r>
      <w:r w:rsidR="005F3907">
        <w:rPr>
          <w:lang w:val="en-GB"/>
        </w:rPr>
        <w:t xml:space="preserve"> activity that is funded.</w:t>
      </w:r>
    </w:p>
    <w:p w:rsidR="005F3907" w:rsidRDefault="005F3907" w:rsidP="00B26FEE">
      <w:pPr>
        <w:pStyle w:val="Listeafsnit"/>
        <w:numPr>
          <w:ilvl w:val="0"/>
          <w:numId w:val="7"/>
        </w:numPr>
        <w:ind w:left="993"/>
        <w:rPr>
          <w:lang w:val="en-GB"/>
        </w:rPr>
      </w:pPr>
      <w:r>
        <w:rPr>
          <w:lang w:val="en-GB"/>
        </w:rPr>
        <w:t xml:space="preserve">Any outflow / expenditure over and above the total incoming funds </w:t>
      </w:r>
      <w:r w:rsidR="001B08F8">
        <w:rPr>
          <w:lang w:val="en-GB"/>
        </w:rPr>
        <w:t xml:space="preserve">on these activities </w:t>
      </w:r>
      <w:r>
        <w:rPr>
          <w:lang w:val="en-GB"/>
        </w:rPr>
        <w:t xml:space="preserve">are drawn from the identified </w:t>
      </w:r>
      <w:proofErr w:type="spellStart"/>
      <w:r>
        <w:rPr>
          <w:lang w:val="en-GB"/>
        </w:rPr>
        <w:t>budgetline</w:t>
      </w:r>
      <w:proofErr w:type="spellEnd"/>
      <w:r>
        <w:rPr>
          <w:lang w:val="en-GB"/>
        </w:rPr>
        <w:t>, referring to the organisation-file</w:t>
      </w:r>
    </w:p>
    <w:p w:rsidR="005F3907" w:rsidRDefault="005F3907" w:rsidP="00B26FEE">
      <w:pPr>
        <w:pStyle w:val="Listeafsnit"/>
        <w:numPr>
          <w:ilvl w:val="0"/>
          <w:numId w:val="7"/>
        </w:numPr>
        <w:ind w:left="993"/>
        <w:rPr>
          <w:lang w:val="en-GB"/>
        </w:rPr>
      </w:pPr>
      <w:r>
        <w:rPr>
          <w:lang w:val="en-GB"/>
        </w:rPr>
        <w:t>Any funding over and above the softly earmarked con</w:t>
      </w:r>
      <w:r w:rsidR="001B08F8">
        <w:rPr>
          <w:lang w:val="en-GB"/>
        </w:rPr>
        <w:t xml:space="preserve">tributions to that </w:t>
      </w:r>
      <w:proofErr w:type="spellStart"/>
      <w:r w:rsidR="001B08F8">
        <w:rPr>
          <w:lang w:val="en-GB"/>
        </w:rPr>
        <w:t>budgetline</w:t>
      </w:r>
      <w:proofErr w:type="spellEnd"/>
      <w:r w:rsidR="001B08F8">
        <w:rPr>
          <w:lang w:val="en-GB"/>
        </w:rPr>
        <w:t xml:space="preserve"> must be interpreted as</w:t>
      </w:r>
      <w:r>
        <w:rPr>
          <w:lang w:val="en-GB"/>
        </w:rPr>
        <w:t xml:space="preserve"> drawn from the core</w:t>
      </w:r>
    </w:p>
    <w:p w:rsidR="00ED0C52" w:rsidRDefault="00ED0C52" w:rsidP="00ED0C52">
      <w:pPr>
        <w:rPr>
          <w:lang w:val="en-GB"/>
        </w:rPr>
      </w:pPr>
      <w:r>
        <w:rPr>
          <w:lang w:val="en-GB"/>
        </w:rPr>
        <w:t xml:space="preserve">Obviously, such a stringent interpretation of IATI-data sets the bar quite high, when it comes to data-quality and –completeness. </w:t>
      </w:r>
      <w:r w:rsidR="00F87C26">
        <w:rPr>
          <w:lang w:val="en-GB"/>
        </w:rPr>
        <w:t xml:space="preserve">One useful principle would </w:t>
      </w:r>
      <w:proofErr w:type="gramStart"/>
      <w:r w:rsidR="00F87C26">
        <w:rPr>
          <w:lang w:val="en-GB"/>
        </w:rPr>
        <w:t>be: Both</w:t>
      </w:r>
      <w:proofErr w:type="gramEnd"/>
      <w:r w:rsidR="00F87C26">
        <w:rPr>
          <w:lang w:val="en-GB"/>
        </w:rPr>
        <w:t xml:space="preserve"> the funding and receiving partner should report the chosen modality; it simply needs to b</w:t>
      </w:r>
      <w:r w:rsidR="00E22AE9">
        <w:rPr>
          <w:lang w:val="en-GB"/>
        </w:rPr>
        <w:t xml:space="preserve">e confirmed, as it is a </w:t>
      </w:r>
      <w:r w:rsidR="00C91F22">
        <w:rPr>
          <w:lang w:val="en-GB"/>
        </w:rPr>
        <w:t>precondition for understanding the nature of the cooperation</w:t>
      </w:r>
      <w:r w:rsidR="004C4D94">
        <w:rPr>
          <w:lang w:val="en-GB"/>
        </w:rPr>
        <w:t>, and thus the structure of the data</w:t>
      </w:r>
      <w:r w:rsidR="00C91F22">
        <w:rPr>
          <w:lang w:val="en-GB"/>
        </w:rPr>
        <w:t>.</w:t>
      </w:r>
    </w:p>
    <w:p w:rsidR="004C4D94" w:rsidRDefault="004C4D94" w:rsidP="00ED0C52">
      <w:pPr>
        <w:rPr>
          <w:lang w:val="en-GB"/>
        </w:rPr>
      </w:pPr>
    </w:p>
    <w:p w:rsidR="004C4D94" w:rsidRPr="004C4D94" w:rsidRDefault="004C4D94" w:rsidP="00ED0C52">
      <w:pPr>
        <w:rPr>
          <w:b/>
          <w:lang w:val="en-GB"/>
        </w:rPr>
      </w:pPr>
      <w:r w:rsidRPr="004C4D94">
        <w:rPr>
          <w:b/>
          <w:lang w:val="en-GB"/>
        </w:rPr>
        <w:t>Organisational structure matters</w:t>
      </w:r>
    </w:p>
    <w:p w:rsidR="00BB3CD0" w:rsidRDefault="004C4D94" w:rsidP="00ED0C52">
      <w:pPr>
        <w:rPr>
          <w:lang w:val="en-GB"/>
        </w:rPr>
      </w:pPr>
      <w:r>
        <w:rPr>
          <w:lang w:val="en-GB"/>
        </w:rPr>
        <w:t>Some organisations consists of several legal entities. It is hardly feasible to dictate a universal solution to this challenge, but it is feasible to consider how different solutions affect</w:t>
      </w:r>
      <w:r w:rsidR="00DE2644">
        <w:rPr>
          <w:lang w:val="en-GB"/>
        </w:rPr>
        <w:t xml:space="preserve"> partners in their effort to enhance tra</w:t>
      </w:r>
      <w:r w:rsidR="003723DC">
        <w:rPr>
          <w:lang w:val="en-GB"/>
        </w:rPr>
        <w:t xml:space="preserve">nsparency. It </w:t>
      </w:r>
      <w:proofErr w:type="gramStart"/>
      <w:r w:rsidR="003723DC">
        <w:rPr>
          <w:lang w:val="en-GB"/>
        </w:rPr>
        <w:t>should at least be considered</w:t>
      </w:r>
      <w:proofErr w:type="gramEnd"/>
      <w:r w:rsidR="003723DC">
        <w:rPr>
          <w:lang w:val="en-GB"/>
        </w:rPr>
        <w:t xml:space="preserve"> to segregate IATI-reporting into ‘compartments’ that represents the individual legal entity. This need not conflict with intentions to centralise the technical task of reporting; it could just be taken as the segregation of data into feasible file-formats by </w:t>
      </w:r>
      <w:proofErr w:type="gramStart"/>
      <w:r w:rsidR="003723DC">
        <w:rPr>
          <w:lang w:val="en-GB"/>
        </w:rPr>
        <w:t>one and the</w:t>
      </w:r>
      <w:proofErr w:type="gramEnd"/>
      <w:r w:rsidR="003723DC">
        <w:rPr>
          <w:lang w:val="en-GB"/>
        </w:rPr>
        <w:t xml:space="preserve"> same central reporting-unit.</w:t>
      </w:r>
      <w:r w:rsidR="000820D7">
        <w:rPr>
          <w:lang w:val="en-GB"/>
        </w:rPr>
        <w:t xml:space="preserve"> </w:t>
      </w:r>
    </w:p>
    <w:p w:rsidR="003723DC" w:rsidRDefault="000820D7" w:rsidP="00ED0C52">
      <w:pPr>
        <w:rPr>
          <w:lang w:val="en-GB"/>
        </w:rPr>
      </w:pPr>
      <w:r>
        <w:rPr>
          <w:lang w:val="en-GB"/>
        </w:rPr>
        <w:t xml:space="preserve">Other organisations choose to establish complex hierarchies in their Activity-file, just to reflect their internal organisational structure. Clearly, IATI should become able to </w:t>
      </w:r>
      <w:proofErr w:type="gramStart"/>
      <w:r>
        <w:rPr>
          <w:lang w:val="en-GB"/>
        </w:rPr>
        <w:t>advise</w:t>
      </w:r>
      <w:proofErr w:type="gramEnd"/>
      <w:r>
        <w:rPr>
          <w:lang w:val="en-GB"/>
        </w:rPr>
        <w:t xml:space="preserve"> on ‘best practice’, but this paper is not the place to go deeper into the issue –</w:t>
      </w:r>
      <w:r w:rsidR="000201E9">
        <w:rPr>
          <w:lang w:val="en-GB"/>
        </w:rPr>
        <w:t xml:space="preserve"> a</w:t>
      </w:r>
      <w:r>
        <w:rPr>
          <w:lang w:val="en-GB"/>
        </w:rPr>
        <w:t>part from the suggestion</w:t>
      </w:r>
      <w:r w:rsidR="003723DC">
        <w:rPr>
          <w:lang w:val="en-GB"/>
        </w:rPr>
        <w:t>s:</w:t>
      </w:r>
    </w:p>
    <w:p w:rsidR="003723DC" w:rsidRDefault="00F6108B" w:rsidP="003723DC">
      <w:pPr>
        <w:pStyle w:val="Listeafsnit"/>
        <w:numPr>
          <w:ilvl w:val="0"/>
          <w:numId w:val="10"/>
        </w:numPr>
        <w:rPr>
          <w:lang w:val="en-GB"/>
        </w:rPr>
      </w:pPr>
      <w:r>
        <w:rPr>
          <w:lang w:val="en-GB"/>
        </w:rPr>
        <w:t>When you design the</w:t>
      </w:r>
      <w:r w:rsidRPr="003723DC">
        <w:rPr>
          <w:lang w:val="en-GB"/>
        </w:rPr>
        <w:t xml:space="preserve"> </w:t>
      </w:r>
      <w:r>
        <w:rPr>
          <w:lang w:val="en-GB"/>
        </w:rPr>
        <w:t>data-model in the activity-file, make it the primary concern to ensure</w:t>
      </w:r>
      <w:r w:rsidR="000820D7" w:rsidRPr="003723DC">
        <w:rPr>
          <w:lang w:val="en-GB"/>
        </w:rPr>
        <w:t xml:space="preserve"> the usefulness of data, in</w:t>
      </w:r>
      <w:r w:rsidR="000201E9" w:rsidRPr="003723DC">
        <w:rPr>
          <w:lang w:val="en-GB"/>
        </w:rPr>
        <w:t xml:space="preserve"> the publishing of </w:t>
      </w:r>
      <w:r>
        <w:rPr>
          <w:lang w:val="en-GB"/>
        </w:rPr>
        <w:t>partnerships</w:t>
      </w:r>
    </w:p>
    <w:p w:rsidR="004C4D94" w:rsidRPr="003723DC" w:rsidRDefault="003723DC" w:rsidP="003723DC">
      <w:pPr>
        <w:pStyle w:val="Listeafsnit"/>
        <w:numPr>
          <w:ilvl w:val="0"/>
          <w:numId w:val="10"/>
        </w:numPr>
        <w:rPr>
          <w:lang w:val="en-GB"/>
        </w:rPr>
      </w:pPr>
      <w:r>
        <w:rPr>
          <w:lang w:val="en-GB"/>
        </w:rPr>
        <w:lastRenderedPageBreak/>
        <w:t>U</w:t>
      </w:r>
      <w:r w:rsidR="000201E9" w:rsidRPr="003723DC">
        <w:rPr>
          <w:lang w:val="en-GB"/>
        </w:rPr>
        <w:t>se the budget-element of the organisation-file for the general data and information about the organisations own budget, not replicating such structures in the activity-file b</w:t>
      </w:r>
      <w:r w:rsidR="00F6108B">
        <w:rPr>
          <w:lang w:val="en-GB"/>
        </w:rPr>
        <w:t>ut using</w:t>
      </w:r>
      <w:r w:rsidR="006634D8" w:rsidRPr="003723DC">
        <w:rPr>
          <w:lang w:val="en-GB"/>
        </w:rPr>
        <w:t xml:space="preserve"> the budget identifies vocabulary=</w:t>
      </w:r>
      <w:proofErr w:type="gramStart"/>
      <w:r w:rsidR="006634D8" w:rsidRPr="003723DC">
        <w:rPr>
          <w:lang w:val="en-GB"/>
        </w:rPr>
        <w:t>4</w:t>
      </w:r>
      <w:proofErr w:type="gramEnd"/>
      <w:r w:rsidR="006634D8" w:rsidRPr="003723DC">
        <w:rPr>
          <w:lang w:val="en-GB"/>
        </w:rPr>
        <w:t xml:space="preserve"> as reference</w:t>
      </w:r>
      <w:r w:rsidR="00F6108B">
        <w:rPr>
          <w:lang w:val="en-GB"/>
        </w:rPr>
        <w:t xml:space="preserve"> to the overarching Budget-line</w:t>
      </w:r>
      <w:r w:rsidR="006634D8" w:rsidRPr="003723DC">
        <w:rPr>
          <w:lang w:val="en-GB"/>
        </w:rPr>
        <w:t>.</w:t>
      </w:r>
    </w:p>
    <w:p w:rsidR="00F47BEA" w:rsidRDefault="00F47BEA" w:rsidP="00ED0C52">
      <w:pPr>
        <w:rPr>
          <w:lang w:val="en-GB"/>
        </w:rPr>
      </w:pPr>
    </w:p>
    <w:p w:rsidR="000201E9" w:rsidRPr="000201E9" w:rsidRDefault="000201E9" w:rsidP="00ED0C52">
      <w:pPr>
        <w:rPr>
          <w:b/>
          <w:lang w:val="en-GB"/>
        </w:rPr>
      </w:pPr>
      <w:r w:rsidRPr="000201E9">
        <w:rPr>
          <w:b/>
          <w:lang w:val="en-GB"/>
        </w:rPr>
        <w:t>Enabling downstream reporters to become IATI publishers – or requesting?</w:t>
      </w:r>
    </w:p>
    <w:p w:rsidR="000201E9" w:rsidRDefault="006634D8" w:rsidP="00ED0C52">
      <w:pPr>
        <w:rPr>
          <w:lang w:val="en-GB"/>
        </w:rPr>
      </w:pPr>
      <w:r>
        <w:rPr>
          <w:lang w:val="en-GB"/>
        </w:rPr>
        <w:t xml:space="preserve">If a hierarchy is created in the activity file, or when a hierarchy is considered, it is feasible to reflect on how to facilitate the IATI-reporting from downstream partners – whether such reporting is incentivised or not. </w:t>
      </w:r>
      <w:proofErr w:type="gramStart"/>
      <w:r w:rsidR="00770FF6">
        <w:rPr>
          <w:lang w:val="en-GB"/>
        </w:rPr>
        <w:t>Basically, two</w:t>
      </w:r>
      <w:proofErr w:type="gramEnd"/>
      <w:r w:rsidR="00770FF6">
        <w:rPr>
          <w:lang w:val="en-GB"/>
        </w:rPr>
        <w:t xml:space="preserve"> different approaches are available:</w:t>
      </w:r>
    </w:p>
    <w:p w:rsidR="00770FF6" w:rsidRDefault="00770FF6" w:rsidP="00770FF6">
      <w:pPr>
        <w:pStyle w:val="Listeafsnit"/>
        <w:numPr>
          <w:ilvl w:val="0"/>
          <w:numId w:val="9"/>
        </w:numPr>
        <w:rPr>
          <w:lang w:val="en-GB"/>
        </w:rPr>
      </w:pPr>
      <w:r>
        <w:rPr>
          <w:lang w:val="en-GB"/>
        </w:rPr>
        <w:t>Having the individual partnership</w:t>
      </w:r>
      <w:r w:rsidR="00F6108B">
        <w:rPr>
          <w:lang w:val="en-GB"/>
        </w:rPr>
        <w:t xml:space="preserve"> agreement/engagement</w:t>
      </w:r>
      <w:r>
        <w:rPr>
          <w:lang w:val="en-GB"/>
        </w:rPr>
        <w:t xml:space="preserve"> </w:t>
      </w:r>
      <w:r w:rsidR="003558F5">
        <w:rPr>
          <w:lang w:val="en-GB"/>
        </w:rPr>
        <w:t xml:space="preserve">as leaf-level activity: All documents, results, descriptions published by the organisation with Role 1=Funding </w:t>
      </w:r>
      <w:r w:rsidR="00104F0D">
        <w:rPr>
          <w:lang w:val="en-GB"/>
        </w:rPr>
        <w:t>will thus be regarding</w:t>
      </w:r>
      <w:r w:rsidR="003558F5">
        <w:rPr>
          <w:lang w:val="en-GB"/>
        </w:rPr>
        <w:t xml:space="preserve"> the engagement/contract entered into with this specific partner. This holds numerous benefits (easy interpretation of budget-figures and robust use of </w:t>
      </w:r>
      <w:proofErr w:type="gramStart"/>
      <w:r w:rsidR="003558F5">
        <w:rPr>
          <w:lang w:val="en-GB"/>
        </w:rPr>
        <w:t>default-coding</w:t>
      </w:r>
      <w:proofErr w:type="gramEnd"/>
      <w:r w:rsidR="003558F5">
        <w:rPr>
          <w:lang w:val="en-GB"/>
        </w:rPr>
        <w:t xml:space="preserve"> of </w:t>
      </w:r>
      <w:r w:rsidR="00F6108B">
        <w:rPr>
          <w:lang w:val="en-GB"/>
        </w:rPr>
        <w:t xml:space="preserve">underlying </w:t>
      </w:r>
      <w:r w:rsidR="003558F5">
        <w:rPr>
          <w:lang w:val="en-GB"/>
        </w:rPr>
        <w:t>transactions).</w:t>
      </w:r>
    </w:p>
    <w:p w:rsidR="003558F5" w:rsidRDefault="003558F5" w:rsidP="00770FF6">
      <w:pPr>
        <w:pStyle w:val="Listeafsnit"/>
        <w:numPr>
          <w:ilvl w:val="0"/>
          <w:numId w:val="9"/>
        </w:numPr>
        <w:rPr>
          <w:lang w:val="en-GB"/>
        </w:rPr>
      </w:pPr>
      <w:r>
        <w:rPr>
          <w:lang w:val="en-GB"/>
        </w:rPr>
        <w:t xml:space="preserve">Having individual partnerships reflected in transactions only: </w:t>
      </w:r>
      <w:r w:rsidR="00206581">
        <w:rPr>
          <w:lang w:val="en-GB"/>
        </w:rPr>
        <w:t>This will allow traceability on individual transactions, but requires much information on the relative role of multiple partners</w:t>
      </w:r>
      <w:r w:rsidR="00835C8C">
        <w:rPr>
          <w:lang w:val="en-GB"/>
        </w:rPr>
        <w:t xml:space="preserve"> in one and the same activity – information that can be provided in document </w:t>
      </w:r>
      <w:proofErr w:type="spellStart"/>
      <w:r w:rsidR="00835C8C">
        <w:rPr>
          <w:lang w:val="en-GB"/>
        </w:rPr>
        <w:t>etc</w:t>
      </w:r>
      <w:proofErr w:type="spellEnd"/>
      <w:r w:rsidR="00835C8C">
        <w:rPr>
          <w:lang w:val="en-GB"/>
        </w:rPr>
        <w:t xml:space="preserve"> but is hard to translate to machine readable data.</w:t>
      </w:r>
    </w:p>
    <w:p w:rsidR="00835C8C" w:rsidRPr="00835C8C" w:rsidRDefault="00835C8C" w:rsidP="00835C8C">
      <w:pPr>
        <w:rPr>
          <w:lang w:val="en-GB"/>
        </w:rPr>
      </w:pPr>
      <w:r>
        <w:rPr>
          <w:lang w:val="en-GB"/>
        </w:rPr>
        <w:t xml:space="preserve">Seen in the perspective of the partner-organisation with role 3=Extending or </w:t>
      </w:r>
      <w:proofErr w:type="gramStart"/>
      <w:r>
        <w:rPr>
          <w:lang w:val="en-GB"/>
        </w:rPr>
        <w:t>4=</w:t>
      </w:r>
      <w:proofErr w:type="gramEnd"/>
      <w:r>
        <w:rPr>
          <w:lang w:val="en-GB"/>
        </w:rPr>
        <w:t xml:space="preserve">Implementing, the above choice of the funding partner sets different priorities. In the first instance, the downstream-partner can rely on the scope presented in the bilateral agreement as the relevant </w:t>
      </w:r>
      <w:r w:rsidR="00086220">
        <w:rPr>
          <w:lang w:val="en-GB"/>
        </w:rPr>
        <w:t xml:space="preserve">context for IATI reporting. In the second instance, it becomes less clear. </w:t>
      </w:r>
    </w:p>
    <w:p w:rsidR="00F47BEA" w:rsidRDefault="00297A98" w:rsidP="00ED0C52">
      <w:pPr>
        <w:rPr>
          <w:lang w:val="en-GB"/>
        </w:rPr>
      </w:pPr>
      <w:r>
        <w:rPr>
          <w:lang w:val="en-GB"/>
        </w:rPr>
        <w:t xml:space="preserve">Denmark recommends strategic partners to choose the first approach. Whether or not next-level partners </w:t>
      </w:r>
      <w:proofErr w:type="gramStart"/>
      <w:r>
        <w:rPr>
          <w:lang w:val="en-GB"/>
        </w:rPr>
        <w:t>are incentivised</w:t>
      </w:r>
      <w:proofErr w:type="gramEnd"/>
      <w:r>
        <w:rPr>
          <w:lang w:val="en-GB"/>
        </w:rPr>
        <w:t xml:space="preserve"> to become IATI-publishers, or choose it by themselves, it should be a prioritised concern of any IATI-publisher to make it easy for their partners</w:t>
      </w:r>
      <w:r w:rsidR="00104F0D">
        <w:rPr>
          <w:lang w:val="en-GB"/>
        </w:rPr>
        <w:t xml:space="preserve"> to join the IATI community</w:t>
      </w:r>
      <w:r>
        <w:rPr>
          <w:lang w:val="en-GB"/>
        </w:rPr>
        <w:t>.</w:t>
      </w:r>
    </w:p>
    <w:sectPr w:rsidR="00F47B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001"/>
    <w:multiLevelType w:val="hybridMultilevel"/>
    <w:tmpl w:val="DC041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AB1F57"/>
    <w:multiLevelType w:val="hybridMultilevel"/>
    <w:tmpl w:val="F81E5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85B5290"/>
    <w:multiLevelType w:val="hybridMultilevel"/>
    <w:tmpl w:val="27286FC4"/>
    <w:lvl w:ilvl="0" w:tplc="04060001">
      <w:start w:val="1"/>
      <w:numFmt w:val="bullet"/>
      <w:lvlText w:val=""/>
      <w:lvlJc w:val="left"/>
      <w:pPr>
        <w:ind w:left="6480" w:hanging="360"/>
      </w:pPr>
      <w:rPr>
        <w:rFonts w:ascii="Symbol" w:hAnsi="Symbol" w:hint="default"/>
      </w:rPr>
    </w:lvl>
    <w:lvl w:ilvl="1" w:tplc="04060003" w:tentative="1">
      <w:start w:val="1"/>
      <w:numFmt w:val="bullet"/>
      <w:lvlText w:val="o"/>
      <w:lvlJc w:val="left"/>
      <w:pPr>
        <w:ind w:left="7200" w:hanging="360"/>
      </w:pPr>
      <w:rPr>
        <w:rFonts w:ascii="Courier New" w:hAnsi="Courier New" w:cs="Courier New" w:hint="default"/>
      </w:rPr>
    </w:lvl>
    <w:lvl w:ilvl="2" w:tplc="04060005" w:tentative="1">
      <w:start w:val="1"/>
      <w:numFmt w:val="bullet"/>
      <w:lvlText w:val=""/>
      <w:lvlJc w:val="left"/>
      <w:pPr>
        <w:ind w:left="7920" w:hanging="360"/>
      </w:pPr>
      <w:rPr>
        <w:rFonts w:ascii="Wingdings" w:hAnsi="Wingdings" w:hint="default"/>
      </w:rPr>
    </w:lvl>
    <w:lvl w:ilvl="3" w:tplc="04060001" w:tentative="1">
      <w:start w:val="1"/>
      <w:numFmt w:val="bullet"/>
      <w:lvlText w:val=""/>
      <w:lvlJc w:val="left"/>
      <w:pPr>
        <w:ind w:left="8640" w:hanging="360"/>
      </w:pPr>
      <w:rPr>
        <w:rFonts w:ascii="Symbol" w:hAnsi="Symbol" w:hint="default"/>
      </w:rPr>
    </w:lvl>
    <w:lvl w:ilvl="4" w:tplc="04060003" w:tentative="1">
      <w:start w:val="1"/>
      <w:numFmt w:val="bullet"/>
      <w:lvlText w:val="o"/>
      <w:lvlJc w:val="left"/>
      <w:pPr>
        <w:ind w:left="9360" w:hanging="360"/>
      </w:pPr>
      <w:rPr>
        <w:rFonts w:ascii="Courier New" w:hAnsi="Courier New" w:cs="Courier New" w:hint="default"/>
      </w:rPr>
    </w:lvl>
    <w:lvl w:ilvl="5" w:tplc="04060005" w:tentative="1">
      <w:start w:val="1"/>
      <w:numFmt w:val="bullet"/>
      <w:lvlText w:val=""/>
      <w:lvlJc w:val="left"/>
      <w:pPr>
        <w:ind w:left="10080" w:hanging="360"/>
      </w:pPr>
      <w:rPr>
        <w:rFonts w:ascii="Wingdings" w:hAnsi="Wingdings" w:hint="default"/>
      </w:rPr>
    </w:lvl>
    <w:lvl w:ilvl="6" w:tplc="04060001" w:tentative="1">
      <w:start w:val="1"/>
      <w:numFmt w:val="bullet"/>
      <w:lvlText w:val=""/>
      <w:lvlJc w:val="left"/>
      <w:pPr>
        <w:ind w:left="10800" w:hanging="360"/>
      </w:pPr>
      <w:rPr>
        <w:rFonts w:ascii="Symbol" w:hAnsi="Symbol" w:hint="default"/>
      </w:rPr>
    </w:lvl>
    <w:lvl w:ilvl="7" w:tplc="04060003" w:tentative="1">
      <w:start w:val="1"/>
      <w:numFmt w:val="bullet"/>
      <w:lvlText w:val="o"/>
      <w:lvlJc w:val="left"/>
      <w:pPr>
        <w:ind w:left="11520" w:hanging="360"/>
      </w:pPr>
      <w:rPr>
        <w:rFonts w:ascii="Courier New" w:hAnsi="Courier New" w:cs="Courier New" w:hint="default"/>
      </w:rPr>
    </w:lvl>
    <w:lvl w:ilvl="8" w:tplc="04060005" w:tentative="1">
      <w:start w:val="1"/>
      <w:numFmt w:val="bullet"/>
      <w:lvlText w:val=""/>
      <w:lvlJc w:val="left"/>
      <w:pPr>
        <w:ind w:left="12240" w:hanging="360"/>
      </w:pPr>
      <w:rPr>
        <w:rFonts w:ascii="Wingdings" w:hAnsi="Wingdings" w:hint="default"/>
      </w:rPr>
    </w:lvl>
  </w:abstractNum>
  <w:abstractNum w:abstractNumId="3" w15:restartNumberingAfterBreak="0">
    <w:nsid w:val="357055C3"/>
    <w:multiLevelType w:val="hybridMultilevel"/>
    <w:tmpl w:val="D4F2C7BA"/>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4" w15:restartNumberingAfterBreak="0">
    <w:nsid w:val="3C07135F"/>
    <w:multiLevelType w:val="hybridMultilevel"/>
    <w:tmpl w:val="B492C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542EE3"/>
    <w:multiLevelType w:val="hybridMultilevel"/>
    <w:tmpl w:val="DC765412"/>
    <w:lvl w:ilvl="0" w:tplc="04060001">
      <w:start w:val="1"/>
      <w:numFmt w:val="bullet"/>
      <w:lvlText w:val=""/>
      <w:lvlJc w:val="left"/>
      <w:pPr>
        <w:ind w:left="9360" w:hanging="360"/>
      </w:pPr>
      <w:rPr>
        <w:rFonts w:ascii="Symbol" w:hAnsi="Symbol" w:hint="default"/>
      </w:rPr>
    </w:lvl>
    <w:lvl w:ilvl="1" w:tplc="04060003" w:tentative="1">
      <w:start w:val="1"/>
      <w:numFmt w:val="bullet"/>
      <w:lvlText w:val="o"/>
      <w:lvlJc w:val="left"/>
      <w:pPr>
        <w:ind w:left="10080" w:hanging="360"/>
      </w:pPr>
      <w:rPr>
        <w:rFonts w:ascii="Courier New" w:hAnsi="Courier New" w:cs="Courier New" w:hint="default"/>
      </w:rPr>
    </w:lvl>
    <w:lvl w:ilvl="2" w:tplc="04060005" w:tentative="1">
      <w:start w:val="1"/>
      <w:numFmt w:val="bullet"/>
      <w:lvlText w:val=""/>
      <w:lvlJc w:val="left"/>
      <w:pPr>
        <w:ind w:left="10800" w:hanging="360"/>
      </w:pPr>
      <w:rPr>
        <w:rFonts w:ascii="Wingdings" w:hAnsi="Wingdings" w:hint="default"/>
      </w:rPr>
    </w:lvl>
    <w:lvl w:ilvl="3" w:tplc="04060001" w:tentative="1">
      <w:start w:val="1"/>
      <w:numFmt w:val="bullet"/>
      <w:lvlText w:val=""/>
      <w:lvlJc w:val="left"/>
      <w:pPr>
        <w:ind w:left="11520" w:hanging="360"/>
      </w:pPr>
      <w:rPr>
        <w:rFonts w:ascii="Symbol" w:hAnsi="Symbol" w:hint="default"/>
      </w:rPr>
    </w:lvl>
    <w:lvl w:ilvl="4" w:tplc="04060003" w:tentative="1">
      <w:start w:val="1"/>
      <w:numFmt w:val="bullet"/>
      <w:lvlText w:val="o"/>
      <w:lvlJc w:val="left"/>
      <w:pPr>
        <w:ind w:left="12240" w:hanging="360"/>
      </w:pPr>
      <w:rPr>
        <w:rFonts w:ascii="Courier New" w:hAnsi="Courier New" w:cs="Courier New" w:hint="default"/>
      </w:rPr>
    </w:lvl>
    <w:lvl w:ilvl="5" w:tplc="04060005" w:tentative="1">
      <w:start w:val="1"/>
      <w:numFmt w:val="bullet"/>
      <w:lvlText w:val=""/>
      <w:lvlJc w:val="left"/>
      <w:pPr>
        <w:ind w:left="12960" w:hanging="360"/>
      </w:pPr>
      <w:rPr>
        <w:rFonts w:ascii="Wingdings" w:hAnsi="Wingdings" w:hint="default"/>
      </w:rPr>
    </w:lvl>
    <w:lvl w:ilvl="6" w:tplc="04060001" w:tentative="1">
      <w:start w:val="1"/>
      <w:numFmt w:val="bullet"/>
      <w:lvlText w:val=""/>
      <w:lvlJc w:val="left"/>
      <w:pPr>
        <w:ind w:left="13680" w:hanging="360"/>
      </w:pPr>
      <w:rPr>
        <w:rFonts w:ascii="Symbol" w:hAnsi="Symbol" w:hint="default"/>
      </w:rPr>
    </w:lvl>
    <w:lvl w:ilvl="7" w:tplc="04060003" w:tentative="1">
      <w:start w:val="1"/>
      <w:numFmt w:val="bullet"/>
      <w:lvlText w:val="o"/>
      <w:lvlJc w:val="left"/>
      <w:pPr>
        <w:ind w:left="14400" w:hanging="360"/>
      </w:pPr>
      <w:rPr>
        <w:rFonts w:ascii="Courier New" w:hAnsi="Courier New" w:cs="Courier New" w:hint="default"/>
      </w:rPr>
    </w:lvl>
    <w:lvl w:ilvl="8" w:tplc="04060005" w:tentative="1">
      <w:start w:val="1"/>
      <w:numFmt w:val="bullet"/>
      <w:lvlText w:val=""/>
      <w:lvlJc w:val="left"/>
      <w:pPr>
        <w:ind w:left="15120" w:hanging="360"/>
      </w:pPr>
      <w:rPr>
        <w:rFonts w:ascii="Wingdings" w:hAnsi="Wingdings" w:hint="default"/>
      </w:rPr>
    </w:lvl>
  </w:abstractNum>
  <w:abstractNum w:abstractNumId="6" w15:restartNumberingAfterBreak="0">
    <w:nsid w:val="4F5234E0"/>
    <w:multiLevelType w:val="hybridMultilevel"/>
    <w:tmpl w:val="8542AEE0"/>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7" w15:restartNumberingAfterBreak="0">
    <w:nsid w:val="514D2E08"/>
    <w:multiLevelType w:val="hybridMultilevel"/>
    <w:tmpl w:val="6E2E57D8"/>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71D84B16"/>
    <w:multiLevelType w:val="hybridMultilevel"/>
    <w:tmpl w:val="C3901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3E60F5B"/>
    <w:multiLevelType w:val="hybridMultilevel"/>
    <w:tmpl w:val="B740B22C"/>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0" w15:restartNumberingAfterBreak="0">
    <w:nsid w:val="7B983837"/>
    <w:multiLevelType w:val="hybridMultilevel"/>
    <w:tmpl w:val="897E37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2"/>
  </w:num>
  <w:num w:numId="6">
    <w:abstractNumId w:val="5"/>
  </w:num>
  <w:num w:numId="7">
    <w:abstractNumId w:val="6"/>
  </w:num>
  <w:num w:numId="8">
    <w:abstractNumId w:val="1"/>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EC"/>
    <w:rsid w:val="00005805"/>
    <w:rsid w:val="000201E9"/>
    <w:rsid w:val="00021672"/>
    <w:rsid w:val="000820D7"/>
    <w:rsid w:val="00086220"/>
    <w:rsid w:val="000C3191"/>
    <w:rsid w:val="000E29C4"/>
    <w:rsid w:val="000E358C"/>
    <w:rsid w:val="000F7568"/>
    <w:rsid w:val="00104F0D"/>
    <w:rsid w:val="00134051"/>
    <w:rsid w:val="00134325"/>
    <w:rsid w:val="00144CA3"/>
    <w:rsid w:val="001B08F8"/>
    <w:rsid w:val="001B3F5C"/>
    <w:rsid w:val="00206581"/>
    <w:rsid w:val="00250A70"/>
    <w:rsid w:val="00253BB6"/>
    <w:rsid w:val="00297A98"/>
    <w:rsid w:val="002B43E7"/>
    <w:rsid w:val="003236B2"/>
    <w:rsid w:val="003558F5"/>
    <w:rsid w:val="003723DC"/>
    <w:rsid w:val="0037279E"/>
    <w:rsid w:val="00386862"/>
    <w:rsid w:val="003B4C63"/>
    <w:rsid w:val="003D4BC6"/>
    <w:rsid w:val="003F59FE"/>
    <w:rsid w:val="00452677"/>
    <w:rsid w:val="004C4D94"/>
    <w:rsid w:val="005752C9"/>
    <w:rsid w:val="005C1C0A"/>
    <w:rsid w:val="005F3907"/>
    <w:rsid w:val="00606BAF"/>
    <w:rsid w:val="00616466"/>
    <w:rsid w:val="00647677"/>
    <w:rsid w:val="006634D8"/>
    <w:rsid w:val="006858B7"/>
    <w:rsid w:val="00690FEC"/>
    <w:rsid w:val="006C4F7F"/>
    <w:rsid w:val="006F4781"/>
    <w:rsid w:val="00705BED"/>
    <w:rsid w:val="0072041A"/>
    <w:rsid w:val="00770FF6"/>
    <w:rsid w:val="00774851"/>
    <w:rsid w:val="007D2987"/>
    <w:rsid w:val="007E58D3"/>
    <w:rsid w:val="007F1B68"/>
    <w:rsid w:val="007F30A7"/>
    <w:rsid w:val="008062BC"/>
    <w:rsid w:val="00835C8C"/>
    <w:rsid w:val="008375E4"/>
    <w:rsid w:val="008438EB"/>
    <w:rsid w:val="00855C74"/>
    <w:rsid w:val="00864F4A"/>
    <w:rsid w:val="008A0DA8"/>
    <w:rsid w:val="008D1ECF"/>
    <w:rsid w:val="008E2AAA"/>
    <w:rsid w:val="0091380C"/>
    <w:rsid w:val="009369F5"/>
    <w:rsid w:val="009A65C0"/>
    <w:rsid w:val="009B5977"/>
    <w:rsid w:val="00A26334"/>
    <w:rsid w:val="00A426F5"/>
    <w:rsid w:val="00A46601"/>
    <w:rsid w:val="00A5501E"/>
    <w:rsid w:val="00AF44ED"/>
    <w:rsid w:val="00B07973"/>
    <w:rsid w:val="00B26FEE"/>
    <w:rsid w:val="00B33123"/>
    <w:rsid w:val="00BB3CD0"/>
    <w:rsid w:val="00BF3807"/>
    <w:rsid w:val="00C07B27"/>
    <w:rsid w:val="00C26D97"/>
    <w:rsid w:val="00C31ED9"/>
    <w:rsid w:val="00C55D0C"/>
    <w:rsid w:val="00C65A58"/>
    <w:rsid w:val="00C75510"/>
    <w:rsid w:val="00C86600"/>
    <w:rsid w:val="00C91F22"/>
    <w:rsid w:val="00CB5A8C"/>
    <w:rsid w:val="00CC2F0C"/>
    <w:rsid w:val="00CE18F7"/>
    <w:rsid w:val="00D03612"/>
    <w:rsid w:val="00DB1A87"/>
    <w:rsid w:val="00DE2644"/>
    <w:rsid w:val="00DF567F"/>
    <w:rsid w:val="00E020B4"/>
    <w:rsid w:val="00E15B99"/>
    <w:rsid w:val="00E22AE9"/>
    <w:rsid w:val="00E411C8"/>
    <w:rsid w:val="00E65AB8"/>
    <w:rsid w:val="00EB6641"/>
    <w:rsid w:val="00ED0C52"/>
    <w:rsid w:val="00F47BEA"/>
    <w:rsid w:val="00F57FF1"/>
    <w:rsid w:val="00F6108B"/>
    <w:rsid w:val="00F72C9D"/>
    <w:rsid w:val="00F87C26"/>
    <w:rsid w:val="00FA5A30"/>
    <w:rsid w:val="00FD04CD"/>
    <w:rsid w:val="00FE3F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1F17D-E596-40F2-B668-C0F4A679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1C0A"/>
    <w:pPr>
      <w:ind w:left="720"/>
      <w:contextualSpacing/>
    </w:pPr>
  </w:style>
  <w:style w:type="paragraph" w:styleId="Markeringsbobletekst">
    <w:name w:val="Balloon Text"/>
    <w:basedOn w:val="Normal"/>
    <w:link w:val="MarkeringsbobletekstTegn"/>
    <w:uiPriority w:val="99"/>
    <w:semiHidden/>
    <w:unhideWhenUsed/>
    <w:rsid w:val="007E58D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58D3"/>
    <w:rPr>
      <w:rFonts w:ascii="Segoe UI" w:hAnsi="Segoe UI" w:cs="Segoe UI"/>
      <w:sz w:val="18"/>
      <w:szCs w:val="18"/>
    </w:rPr>
  </w:style>
  <w:style w:type="character" w:customStyle="1" w:styleId="fb-enrol-number">
    <w:name w:val="fb-enrol-number"/>
    <w:basedOn w:val="Standardskrifttypeiafsnit"/>
    <w:rsid w:val="0085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9280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Jacob Hjøllund</dc:creator>
  <cp:keywords/>
  <dc:description/>
  <cp:lastModifiedBy>Ole Jacob Hjøllund</cp:lastModifiedBy>
  <cp:revision>2</cp:revision>
  <cp:lastPrinted>2018-09-11T11:13:00Z</cp:lastPrinted>
  <dcterms:created xsi:type="dcterms:W3CDTF">2018-09-21T10:15:00Z</dcterms:created>
  <dcterms:modified xsi:type="dcterms:W3CDTF">2018-09-21T10:15:00Z</dcterms:modified>
</cp:coreProperties>
</file>