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97" w:rsidRDefault="00C65397" w:rsidP="00C65397">
      <w:pPr>
        <w:pStyle w:val="Default"/>
        <w:pBdr>
          <w:top w:val="single" w:sz="4" w:space="1" w:color="auto"/>
          <w:left w:val="single" w:sz="4" w:space="4" w:color="auto"/>
          <w:bottom w:val="single" w:sz="4" w:space="1" w:color="auto"/>
          <w:right w:val="single" w:sz="4" w:space="4" w:color="auto"/>
        </w:pBdr>
        <w:shd w:val="pct15" w:color="auto" w:fill="auto"/>
        <w:spacing w:line="264" w:lineRule="auto"/>
        <w:rPr>
          <w:rFonts w:ascii="Times New Roman" w:hAnsi="Times New Roman" w:cs="Times New Roman"/>
          <w:b/>
          <w:sz w:val="22"/>
          <w:szCs w:val="22"/>
        </w:rPr>
      </w:pPr>
      <w:r w:rsidRPr="00184BBA">
        <w:rPr>
          <w:rFonts w:ascii="Times New Roman" w:hAnsi="Times New Roman" w:cs="Times New Roman"/>
          <w:b/>
          <w:bCs/>
          <w:caps/>
          <w:sz w:val="22"/>
          <w:szCs w:val="22"/>
          <w:u w:val="single"/>
        </w:rPr>
        <w:t>Session Name</w:t>
      </w:r>
      <w:r>
        <w:rPr>
          <w:rFonts w:ascii="Times New Roman" w:hAnsi="Times New Roman" w:cs="Times New Roman"/>
          <w:b/>
          <w:bCs/>
          <w:sz w:val="22"/>
          <w:szCs w:val="22"/>
        </w:rPr>
        <w:t xml:space="preserve">: </w:t>
      </w:r>
      <w:r w:rsidRPr="00C65397">
        <w:rPr>
          <w:rFonts w:ascii="Times New Roman" w:hAnsi="Times New Roman" w:cs="Times New Roman"/>
          <w:b/>
          <w:bCs/>
          <w:sz w:val="22"/>
          <w:szCs w:val="22"/>
        </w:rPr>
        <w:t>Budget Alignment</w:t>
      </w:r>
      <w:r>
        <w:rPr>
          <w:rFonts w:ascii="Times New Roman" w:hAnsi="Times New Roman" w:cs="Times New Roman"/>
          <w:b/>
          <w:bCs/>
          <w:sz w:val="22"/>
          <w:szCs w:val="22"/>
        </w:rPr>
        <w:t xml:space="preserve"> -</w:t>
      </w:r>
      <w:r w:rsidRPr="00C65397">
        <w:rPr>
          <w:rFonts w:ascii="Times New Roman" w:hAnsi="Times New Roman" w:cs="Times New Roman"/>
          <w:b/>
          <w:bCs/>
          <w:sz w:val="22"/>
          <w:szCs w:val="22"/>
        </w:rPr>
        <w:t xml:space="preserve"> </w:t>
      </w:r>
      <w:r w:rsidRPr="00C65397">
        <w:rPr>
          <w:rFonts w:ascii="Times New Roman" w:hAnsi="Times New Roman" w:cs="Times New Roman"/>
          <w:b/>
          <w:sz w:val="22"/>
          <w:szCs w:val="22"/>
        </w:rPr>
        <w:t xml:space="preserve">Discussion of recommendations from study into how IATI can meet the information needs for effective budget planning and execution processes, </w:t>
      </w:r>
    </w:p>
    <w:p w:rsidR="00C65397" w:rsidRDefault="00C65397" w:rsidP="00C65397">
      <w:pPr>
        <w:pStyle w:val="Default"/>
        <w:pBdr>
          <w:top w:val="single" w:sz="4" w:space="1" w:color="auto"/>
          <w:left w:val="single" w:sz="4" w:space="4" w:color="auto"/>
          <w:bottom w:val="single" w:sz="4" w:space="1" w:color="auto"/>
          <w:right w:val="single" w:sz="4" w:space="4" w:color="auto"/>
        </w:pBdr>
        <w:shd w:val="pct15" w:color="auto" w:fill="auto"/>
        <w:spacing w:line="264" w:lineRule="auto"/>
        <w:rPr>
          <w:rFonts w:ascii="Times New Roman" w:hAnsi="Times New Roman" w:cs="Times New Roman"/>
          <w:b/>
          <w:sz w:val="22"/>
          <w:szCs w:val="22"/>
        </w:rPr>
      </w:pPr>
    </w:p>
    <w:p w:rsidR="00C65397" w:rsidRDefault="00C65397" w:rsidP="00C65397">
      <w:pPr>
        <w:pStyle w:val="Default"/>
        <w:pBdr>
          <w:top w:val="single" w:sz="4" w:space="1" w:color="auto"/>
          <w:left w:val="single" w:sz="4" w:space="4" w:color="auto"/>
          <w:bottom w:val="single" w:sz="4" w:space="1" w:color="auto"/>
          <w:right w:val="single" w:sz="4" w:space="4" w:color="auto"/>
        </w:pBdr>
        <w:shd w:val="pct15" w:color="auto" w:fill="auto"/>
        <w:spacing w:line="264" w:lineRule="auto"/>
        <w:rPr>
          <w:rFonts w:ascii="Times New Roman" w:hAnsi="Times New Roman" w:cs="Times New Roman"/>
          <w:b/>
          <w:sz w:val="22"/>
          <w:szCs w:val="22"/>
        </w:rPr>
      </w:pPr>
      <w:r w:rsidRPr="00184BBA">
        <w:rPr>
          <w:rFonts w:ascii="Times New Roman" w:hAnsi="Times New Roman" w:cs="Times New Roman"/>
          <w:b/>
          <w:caps/>
          <w:sz w:val="22"/>
          <w:szCs w:val="22"/>
          <w:u w:val="single"/>
        </w:rPr>
        <w:t>Date/Time</w:t>
      </w:r>
      <w:r w:rsidRPr="00C65397">
        <w:rPr>
          <w:rFonts w:ascii="Times New Roman" w:hAnsi="Times New Roman" w:cs="Times New Roman"/>
          <w:b/>
          <w:sz w:val="22"/>
          <w:szCs w:val="22"/>
          <w:u w:val="single"/>
        </w:rPr>
        <w:t>:</w:t>
      </w:r>
      <w:r>
        <w:rPr>
          <w:rFonts w:ascii="Times New Roman" w:hAnsi="Times New Roman" w:cs="Times New Roman"/>
          <w:b/>
          <w:sz w:val="22"/>
          <w:szCs w:val="22"/>
        </w:rPr>
        <w:t xml:space="preserve"> </w:t>
      </w:r>
      <w:r w:rsidRPr="00C65397">
        <w:rPr>
          <w:rFonts w:ascii="Times New Roman" w:hAnsi="Times New Roman" w:cs="Times New Roman"/>
          <w:b/>
          <w:sz w:val="22"/>
          <w:szCs w:val="22"/>
        </w:rPr>
        <w:t>15 May 2012, 09.00-11.00 hrs</w:t>
      </w:r>
    </w:p>
    <w:p w:rsidR="00C65397" w:rsidRDefault="00C65397" w:rsidP="00C65397">
      <w:pPr>
        <w:pStyle w:val="Default"/>
        <w:pBdr>
          <w:top w:val="single" w:sz="4" w:space="1" w:color="auto"/>
          <w:left w:val="single" w:sz="4" w:space="4" w:color="auto"/>
          <w:bottom w:val="single" w:sz="4" w:space="1" w:color="auto"/>
          <w:right w:val="single" w:sz="4" w:space="4" w:color="auto"/>
        </w:pBdr>
        <w:shd w:val="pct15" w:color="auto" w:fill="auto"/>
        <w:spacing w:line="264" w:lineRule="auto"/>
        <w:rPr>
          <w:rFonts w:ascii="Times New Roman" w:hAnsi="Times New Roman" w:cs="Times New Roman"/>
          <w:b/>
          <w:sz w:val="22"/>
          <w:szCs w:val="22"/>
        </w:rPr>
      </w:pPr>
    </w:p>
    <w:p w:rsidR="00C65397" w:rsidRDefault="00C65397" w:rsidP="00C65397">
      <w:pPr>
        <w:pStyle w:val="Default"/>
        <w:pBdr>
          <w:top w:val="single" w:sz="4" w:space="1" w:color="auto"/>
          <w:left w:val="single" w:sz="4" w:space="4" w:color="auto"/>
          <w:bottom w:val="single" w:sz="4" w:space="1" w:color="auto"/>
          <w:right w:val="single" w:sz="4" w:space="4" w:color="auto"/>
        </w:pBdr>
        <w:shd w:val="pct15" w:color="auto" w:fill="auto"/>
        <w:spacing w:line="264" w:lineRule="auto"/>
        <w:rPr>
          <w:rFonts w:ascii="Times New Roman" w:hAnsi="Times New Roman" w:cs="Times New Roman"/>
          <w:sz w:val="22"/>
          <w:szCs w:val="22"/>
        </w:rPr>
      </w:pPr>
      <w:r w:rsidRPr="00184BBA">
        <w:rPr>
          <w:rFonts w:ascii="Times New Roman" w:hAnsi="Times New Roman" w:cs="Times New Roman"/>
          <w:b/>
          <w:caps/>
          <w:sz w:val="22"/>
          <w:szCs w:val="22"/>
          <w:u w:val="single"/>
        </w:rPr>
        <w:t>Work stream</w:t>
      </w:r>
      <w:r>
        <w:rPr>
          <w:rFonts w:ascii="Times New Roman" w:hAnsi="Times New Roman" w:cs="Times New Roman"/>
          <w:b/>
          <w:sz w:val="22"/>
          <w:szCs w:val="22"/>
        </w:rPr>
        <w:t>: Partner countries</w:t>
      </w:r>
    </w:p>
    <w:p w:rsidR="00C65397" w:rsidRPr="00C65397" w:rsidRDefault="00C65397" w:rsidP="00C65397">
      <w:pPr>
        <w:pStyle w:val="Default"/>
        <w:spacing w:line="264" w:lineRule="auto"/>
        <w:rPr>
          <w:rFonts w:ascii="Times New Roman" w:hAnsi="Times New Roman" w:cs="Times New Roman"/>
          <w:sz w:val="22"/>
          <w:szCs w:val="22"/>
        </w:rPr>
      </w:pPr>
    </w:p>
    <w:p w:rsidR="00C65397" w:rsidRPr="00C65397" w:rsidRDefault="00C65397" w:rsidP="00C65397">
      <w:pPr>
        <w:spacing w:after="0" w:line="264" w:lineRule="auto"/>
        <w:rPr>
          <w:rFonts w:ascii="Times New Roman" w:hAnsi="Times New Roman" w:cs="Times New Roman"/>
          <w:u w:val="single"/>
        </w:rPr>
      </w:pPr>
      <w:r w:rsidRPr="00C65397">
        <w:rPr>
          <w:rFonts w:ascii="Times New Roman" w:hAnsi="Times New Roman" w:cs="Times New Roman"/>
          <w:u w:val="single"/>
        </w:rPr>
        <w:t xml:space="preserve">Presentation by Ms. Alta </w:t>
      </w:r>
      <w:proofErr w:type="spellStart"/>
      <w:r w:rsidRPr="00C65397">
        <w:rPr>
          <w:rFonts w:ascii="Times New Roman" w:hAnsi="Times New Roman" w:cs="Times New Roman"/>
          <w:u w:val="single"/>
        </w:rPr>
        <w:t>Foltscher</w:t>
      </w:r>
      <w:proofErr w:type="spellEnd"/>
      <w:r w:rsidRPr="00C65397">
        <w:rPr>
          <w:rFonts w:ascii="Times New Roman" w:hAnsi="Times New Roman" w:cs="Times New Roman"/>
          <w:u w:val="single"/>
        </w:rPr>
        <w:t xml:space="preserve">, </w:t>
      </w:r>
      <w:proofErr w:type="spellStart"/>
      <w:r w:rsidRPr="00C65397">
        <w:rPr>
          <w:rFonts w:ascii="Times New Roman" w:hAnsi="Times New Roman" w:cs="Times New Roman"/>
          <w:u w:val="single"/>
        </w:rPr>
        <w:t>Mokoro</w:t>
      </w:r>
      <w:proofErr w:type="spellEnd"/>
      <w:r>
        <w:rPr>
          <w:rFonts w:ascii="Times New Roman" w:hAnsi="Times New Roman" w:cs="Times New Roman"/>
          <w:u w:val="single"/>
        </w:rPr>
        <w:t>:</w:t>
      </w:r>
    </w:p>
    <w:p w:rsidR="00C65397" w:rsidRDefault="00C65397" w:rsidP="00C65397">
      <w:pPr>
        <w:spacing w:after="0" w:line="264" w:lineRule="auto"/>
        <w:rPr>
          <w:rFonts w:ascii="Times New Roman" w:hAnsi="Times New Roman" w:cs="Times New Roman"/>
        </w:rPr>
      </w:pPr>
    </w:p>
    <w:p w:rsidR="00B8147C" w:rsidRDefault="00C65397" w:rsidP="000152BA">
      <w:pPr>
        <w:pStyle w:val="ListParagraph"/>
        <w:numPr>
          <w:ilvl w:val="0"/>
          <w:numId w:val="3"/>
        </w:numPr>
        <w:spacing w:after="0" w:line="264" w:lineRule="auto"/>
        <w:rPr>
          <w:rFonts w:ascii="Times New Roman" w:hAnsi="Times New Roman" w:cs="Times New Roman"/>
        </w:rPr>
      </w:pPr>
      <w:r w:rsidRPr="000152BA">
        <w:rPr>
          <w:rFonts w:ascii="Times New Roman" w:hAnsi="Times New Roman" w:cs="Times New Roman"/>
        </w:rPr>
        <w:t xml:space="preserve">Budget alignment of aid information remains a challenge across </w:t>
      </w:r>
      <w:r w:rsidR="000152BA" w:rsidRPr="000152BA">
        <w:rPr>
          <w:rFonts w:ascii="Times New Roman" w:hAnsi="Times New Roman" w:cs="Times New Roman"/>
        </w:rPr>
        <w:t>d</w:t>
      </w:r>
      <w:r w:rsidRPr="000152BA">
        <w:rPr>
          <w:rFonts w:ascii="Times New Roman" w:hAnsi="Times New Roman" w:cs="Times New Roman"/>
        </w:rPr>
        <w:t xml:space="preserve">eveloping countries. It is hampered by different factors, </w:t>
      </w:r>
      <w:r w:rsidR="000152BA" w:rsidRPr="000152BA">
        <w:rPr>
          <w:rFonts w:ascii="Times New Roman" w:hAnsi="Times New Roman" w:cs="Times New Roman"/>
        </w:rPr>
        <w:t>most importantly the overall poor availability of timely aid information</w:t>
      </w:r>
      <w:r w:rsidRPr="000152BA">
        <w:rPr>
          <w:rFonts w:ascii="Times New Roman" w:hAnsi="Times New Roman" w:cs="Times New Roman"/>
        </w:rPr>
        <w:t xml:space="preserve"> </w:t>
      </w:r>
      <w:r w:rsidR="000152BA" w:rsidRPr="000152BA">
        <w:rPr>
          <w:rFonts w:ascii="Times New Roman" w:hAnsi="Times New Roman" w:cs="Times New Roman"/>
        </w:rPr>
        <w:t>in terms of both quantity and quality. The situation tends to be worse in low income countries with higher aid dependency and less robust Public Financial Management (PFM) systems that in less aid dependent countries with</w:t>
      </w:r>
      <w:r w:rsidRPr="000152BA">
        <w:rPr>
          <w:rFonts w:ascii="Times New Roman" w:hAnsi="Times New Roman" w:cs="Times New Roman"/>
        </w:rPr>
        <w:t xml:space="preserve"> </w:t>
      </w:r>
      <w:r w:rsidR="000152BA" w:rsidRPr="000152BA">
        <w:rPr>
          <w:rFonts w:ascii="Times New Roman" w:hAnsi="Times New Roman" w:cs="Times New Roman"/>
        </w:rPr>
        <w:t xml:space="preserve">higher PFM capacity. This means that countries that most need robust aid information are least likely to have it. </w:t>
      </w:r>
      <w:r w:rsidR="000451DA" w:rsidRPr="000152BA">
        <w:rPr>
          <w:rFonts w:ascii="Times New Roman" w:hAnsi="Times New Roman" w:cs="Times New Roman"/>
          <w:lang w:val="en-ZA"/>
        </w:rPr>
        <w:t>Even in countries that have effective aid information collection systems</w:t>
      </w:r>
      <w:r w:rsidR="000152BA" w:rsidRPr="000152BA">
        <w:rPr>
          <w:rFonts w:ascii="Times New Roman" w:hAnsi="Times New Roman" w:cs="Times New Roman"/>
          <w:lang w:val="en-ZA"/>
        </w:rPr>
        <w:t>, i</w:t>
      </w:r>
      <w:r w:rsidR="000451DA" w:rsidRPr="000152BA">
        <w:rPr>
          <w:rFonts w:ascii="Times New Roman" w:hAnsi="Times New Roman" w:cs="Times New Roman"/>
          <w:lang w:val="en-ZA"/>
        </w:rPr>
        <w:t>nformation on off-budget projects and program</w:t>
      </w:r>
      <w:r w:rsidR="000152BA">
        <w:rPr>
          <w:rFonts w:ascii="Times New Roman" w:hAnsi="Times New Roman" w:cs="Times New Roman"/>
          <w:lang w:val="en-ZA"/>
        </w:rPr>
        <w:t>m</w:t>
      </w:r>
      <w:r w:rsidR="000451DA" w:rsidRPr="000152BA">
        <w:rPr>
          <w:rFonts w:ascii="Times New Roman" w:hAnsi="Times New Roman" w:cs="Times New Roman"/>
          <w:lang w:val="en-ZA"/>
        </w:rPr>
        <w:t>es is less comprehensive</w:t>
      </w:r>
      <w:r w:rsidR="000152BA">
        <w:rPr>
          <w:rFonts w:ascii="Times New Roman" w:hAnsi="Times New Roman" w:cs="Times New Roman"/>
          <w:lang w:val="en-ZA"/>
        </w:rPr>
        <w:t xml:space="preserve"> and i</w:t>
      </w:r>
      <w:r w:rsidR="000451DA" w:rsidRPr="000152BA">
        <w:rPr>
          <w:rFonts w:ascii="Times New Roman" w:hAnsi="Times New Roman" w:cs="Times New Roman"/>
          <w:lang w:val="en-ZA"/>
        </w:rPr>
        <w:t xml:space="preserve">nformation </w:t>
      </w:r>
      <w:r w:rsidR="000152BA" w:rsidRPr="000528ED">
        <w:rPr>
          <w:rFonts w:ascii="Times New Roman" w:hAnsi="Times New Roman" w:cs="Times New Roman"/>
        </w:rPr>
        <w:t>on the disbursement of aid, particularly project aid, is less available than information on commitments. The reliability and timeliness of information on estimated disbursements</w:t>
      </w:r>
      <w:r w:rsidR="000152BA">
        <w:rPr>
          <w:rFonts w:ascii="Times New Roman" w:hAnsi="Times New Roman" w:cs="Times New Roman"/>
        </w:rPr>
        <w:t>,</w:t>
      </w:r>
      <w:r w:rsidR="000152BA" w:rsidRPr="000528ED">
        <w:rPr>
          <w:rFonts w:ascii="Times New Roman" w:hAnsi="Times New Roman" w:cs="Times New Roman"/>
        </w:rPr>
        <w:t xml:space="preserve"> however, remains an issue.</w:t>
      </w:r>
    </w:p>
    <w:p w:rsidR="000152BA" w:rsidRDefault="000152BA" w:rsidP="000152BA">
      <w:pPr>
        <w:pStyle w:val="ListParagraph"/>
        <w:spacing w:after="0" w:line="264" w:lineRule="auto"/>
        <w:rPr>
          <w:rFonts w:ascii="Times New Roman" w:hAnsi="Times New Roman" w:cs="Times New Roman"/>
        </w:rPr>
      </w:pPr>
    </w:p>
    <w:p w:rsidR="00EA12B0" w:rsidRDefault="000152BA" w:rsidP="005207D4">
      <w:pPr>
        <w:pStyle w:val="ListParagraph"/>
        <w:numPr>
          <w:ilvl w:val="0"/>
          <w:numId w:val="3"/>
        </w:numPr>
        <w:spacing w:after="0" w:line="264" w:lineRule="auto"/>
        <w:rPr>
          <w:rFonts w:ascii="Times New Roman" w:hAnsi="Times New Roman" w:cs="Times New Roman"/>
        </w:rPr>
      </w:pPr>
      <w:r w:rsidRPr="000152BA">
        <w:rPr>
          <w:rFonts w:ascii="Times New Roman" w:hAnsi="Times New Roman" w:cs="Times New Roman"/>
          <w:lang w:val="en-ZA"/>
        </w:rPr>
        <w:t xml:space="preserve">The key finding </w:t>
      </w:r>
      <w:r w:rsidR="005207D4">
        <w:rPr>
          <w:rFonts w:ascii="Times New Roman" w:hAnsi="Times New Roman" w:cs="Times New Roman"/>
          <w:lang w:val="en-ZA"/>
        </w:rPr>
        <w:t>f</w:t>
      </w:r>
      <w:r w:rsidRPr="000152BA">
        <w:rPr>
          <w:rFonts w:ascii="Times New Roman" w:hAnsi="Times New Roman" w:cs="Times New Roman"/>
          <w:lang w:val="en-ZA"/>
        </w:rPr>
        <w:t xml:space="preserve">rom the study on </w:t>
      </w:r>
      <w:r w:rsidR="005207D4">
        <w:rPr>
          <w:rFonts w:ascii="Times New Roman" w:hAnsi="Times New Roman" w:cs="Times New Roman"/>
          <w:lang w:val="en-ZA"/>
        </w:rPr>
        <w:t>further testing a</w:t>
      </w:r>
      <w:r w:rsidRPr="000152BA">
        <w:rPr>
          <w:rFonts w:ascii="Times New Roman" w:hAnsi="Times New Roman" w:cs="Times New Roman"/>
          <w:lang w:val="en-ZA"/>
        </w:rPr>
        <w:t xml:space="preserve"> common </w:t>
      </w:r>
      <w:r w:rsidR="005207D4">
        <w:rPr>
          <w:rFonts w:ascii="Times New Roman" w:hAnsi="Times New Roman" w:cs="Times New Roman"/>
          <w:lang w:val="en-ZA"/>
        </w:rPr>
        <w:t xml:space="preserve">administrative/functional </w:t>
      </w:r>
      <w:r w:rsidRPr="000152BA">
        <w:rPr>
          <w:rFonts w:ascii="Times New Roman" w:hAnsi="Times New Roman" w:cs="Times New Roman"/>
          <w:lang w:val="en-ZA"/>
        </w:rPr>
        <w:t xml:space="preserve">code </w:t>
      </w:r>
      <w:r w:rsidR="005207D4">
        <w:rPr>
          <w:rFonts w:ascii="Times New Roman" w:hAnsi="Times New Roman" w:cs="Times New Roman"/>
          <w:lang w:val="en-ZA"/>
        </w:rPr>
        <w:t xml:space="preserve">(in now 35 country classification systems) </w:t>
      </w:r>
      <w:r w:rsidRPr="000152BA">
        <w:rPr>
          <w:rFonts w:ascii="Times New Roman" w:hAnsi="Times New Roman" w:cs="Times New Roman"/>
          <w:lang w:val="en-ZA"/>
        </w:rPr>
        <w:t xml:space="preserve">is that </w:t>
      </w:r>
      <w:r w:rsidR="005207D4">
        <w:rPr>
          <w:rFonts w:ascii="Times New Roman" w:hAnsi="Times New Roman" w:cs="Times New Roman"/>
          <w:lang w:val="en-ZA"/>
        </w:rPr>
        <w:t xml:space="preserve">it is </w:t>
      </w:r>
      <w:r>
        <w:rPr>
          <w:rFonts w:ascii="Times New Roman" w:hAnsi="Times New Roman" w:cs="Times New Roman"/>
          <w:lang w:val="en-ZA"/>
        </w:rPr>
        <w:t>compatible with country budget</w:t>
      </w:r>
      <w:r w:rsidR="005207D4">
        <w:rPr>
          <w:rFonts w:ascii="Times New Roman" w:hAnsi="Times New Roman" w:cs="Times New Roman"/>
          <w:lang w:val="en-ZA"/>
        </w:rPr>
        <w:t xml:space="preserve"> system</w:t>
      </w:r>
      <w:r>
        <w:rPr>
          <w:rFonts w:ascii="Times New Roman" w:hAnsi="Times New Roman" w:cs="Times New Roman"/>
          <w:lang w:val="en-ZA"/>
        </w:rPr>
        <w:t xml:space="preserve">s, </w:t>
      </w:r>
      <w:r w:rsidRPr="000152BA">
        <w:rPr>
          <w:rFonts w:ascii="Times New Roman" w:hAnsi="Times New Roman" w:cs="Times New Roman"/>
          <w:lang w:val="en-ZA"/>
        </w:rPr>
        <w:t>but require</w:t>
      </w:r>
      <w:r w:rsidR="005207D4">
        <w:rPr>
          <w:rFonts w:ascii="Times New Roman" w:hAnsi="Times New Roman" w:cs="Times New Roman"/>
          <w:lang w:val="en-ZA"/>
        </w:rPr>
        <w:t>s</w:t>
      </w:r>
      <w:r w:rsidRPr="000152BA">
        <w:rPr>
          <w:rFonts w:ascii="Times New Roman" w:hAnsi="Times New Roman" w:cs="Times New Roman"/>
          <w:lang w:val="en-ZA"/>
        </w:rPr>
        <w:t xml:space="preserve"> further work</w:t>
      </w:r>
      <w:r>
        <w:rPr>
          <w:rFonts w:ascii="Times New Roman" w:hAnsi="Times New Roman" w:cs="Times New Roman"/>
          <w:lang w:val="en-ZA"/>
        </w:rPr>
        <w:t xml:space="preserve"> by developing countries to aggregate, disaggregate and manually assign </w:t>
      </w:r>
      <w:r w:rsidR="005207D4">
        <w:rPr>
          <w:rFonts w:ascii="Times New Roman" w:hAnsi="Times New Roman" w:cs="Times New Roman"/>
          <w:lang w:val="en-ZA"/>
        </w:rPr>
        <w:t>aid flows</w:t>
      </w:r>
      <w:r>
        <w:rPr>
          <w:rFonts w:ascii="Times New Roman" w:hAnsi="Times New Roman" w:cs="Times New Roman"/>
          <w:lang w:val="en-ZA"/>
        </w:rPr>
        <w:t xml:space="preserve">. Overall, the study concludes that it would </w:t>
      </w:r>
      <w:r w:rsidRPr="000152BA">
        <w:rPr>
          <w:rFonts w:ascii="Times New Roman" w:hAnsi="Times New Roman" w:cs="Times New Roman"/>
          <w:lang w:val="en-ZA"/>
        </w:rPr>
        <w:t xml:space="preserve">be </w:t>
      </w:r>
      <w:r>
        <w:rPr>
          <w:rFonts w:ascii="Times New Roman" w:hAnsi="Times New Roman" w:cs="Times New Roman"/>
          <w:lang w:val="en-ZA"/>
        </w:rPr>
        <w:t xml:space="preserve">a </w:t>
      </w:r>
      <w:r w:rsidRPr="000152BA">
        <w:rPr>
          <w:rFonts w:ascii="Times New Roman" w:hAnsi="Times New Roman" w:cs="Times New Roman"/>
          <w:lang w:val="en-ZA"/>
        </w:rPr>
        <w:t xml:space="preserve">useful signifier of budget placement of aid activities and contribute to </w:t>
      </w:r>
      <w:r>
        <w:rPr>
          <w:rFonts w:ascii="Times New Roman" w:hAnsi="Times New Roman" w:cs="Times New Roman"/>
          <w:lang w:val="en-ZA"/>
        </w:rPr>
        <w:t xml:space="preserve">the </w:t>
      </w:r>
      <w:r w:rsidR="005207D4">
        <w:rPr>
          <w:rFonts w:ascii="Times New Roman" w:hAnsi="Times New Roman" w:cs="Times New Roman"/>
          <w:lang w:val="en-ZA"/>
        </w:rPr>
        <w:t xml:space="preserve">greater </w:t>
      </w:r>
      <w:r w:rsidRPr="000152BA">
        <w:rPr>
          <w:rFonts w:ascii="Times New Roman" w:hAnsi="Times New Roman" w:cs="Times New Roman"/>
          <w:lang w:val="en-ZA"/>
        </w:rPr>
        <w:t>use of IATI data at country level.</w:t>
      </w:r>
      <w:r w:rsidR="005207D4">
        <w:rPr>
          <w:rStyle w:val="FootnoteReference"/>
          <w:rFonts w:ascii="Times New Roman" w:hAnsi="Times New Roman" w:cs="Times New Roman"/>
          <w:lang w:val="en-ZA"/>
        </w:rPr>
        <w:footnoteReference w:id="1"/>
      </w:r>
      <w:r w:rsidR="005207D4">
        <w:rPr>
          <w:rFonts w:ascii="Times New Roman" w:hAnsi="Times New Roman" w:cs="Times New Roman"/>
          <w:lang w:val="en-ZA"/>
        </w:rPr>
        <w:t xml:space="preserve">  </w:t>
      </w:r>
      <w:r w:rsidR="005207D4" w:rsidRPr="005207D4">
        <w:rPr>
          <w:rFonts w:ascii="Times New Roman" w:hAnsi="Times New Roman" w:cs="Times New Roman"/>
        </w:rPr>
        <w:t xml:space="preserve">Assessing the likely contribution of </w:t>
      </w:r>
      <w:r w:rsidR="005207D4">
        <w:rPr>
          <w:rFonts w:ascii="Times New Roman" w:hAnsi="Times New Roman" w:cs="Times New Roman"/>
        </w:rPr>
        <w:t>using a common</w:t>
      </w:r>
      <w:r w:rsidR="005207D4" w:rsidRPr="005207D4">
        <w:rPr>
          <w:rFonts w:ascii="Times New Roman" w:hAnsi="Times New Roman" w:cs="Times New Roman"/>
        </w:rPr>
        <w:t xml:space="preserve"> code at country level showed that benefits would be reali</w:t>
      </w:r>
      <w:r w:rsidR="005207D4">
        <w:rPr>
          <w:rFonts w:ascii="Times New Roman" w:hAnsi="Times New Roman" w:cs="Times New Roman"/>
        </w:rPr>
        <w:t>z</w:t>
      </w:r>
      <w:r w:rsidR="005207D4" w:rsidRPr="005207D4">
        <w:rPr>
          <w:rFonts w:ascii="Times New Roman" w:hAnsi="Times New Roman" w:cs="Times New Roman"/>
        </w:rPr>
        <w:t>ed in most countries,</w:t>
      </w:r>
      <w:r w:rsidR="005207D4">
        <w:rPr>
          <w:rFonts w:ascii="Times New Roman" w:hAnsi="Times New Roman" w:cs="Times New Roman"/>
        </w:rPr>
        <w:t xml:space="preserve"> and mostly those without </w:t>
      </w:r>
      <w:r w:rsidR="005207D4" w:rsidRPr="005207D4">
        <w:rPr>
          <w:rFonts w:ascii="Times New Roman" w:hAnsi="Times New Roman" w:cs="Times New Roman"/>
        </w:rPr>
        <w:t>effective AIMS and aid information collection systems.</w:t>
      </w:r>
    </w:p>
    <w:p w:rsidR="005207D4" w:rsidRPr="005207D4" w:rsidRDefault="005207D4" w:rsidP="005207D4">
      <w:pPr>
        <w:spacing w:after="0" w:line="264" w:lineRule="auto"/>
        <w:rPr>
          <w:rFonts w:ascii="Times New Roman" w:hAnsi="Times New Roman" w:cs="Times New Roman"/>
        </w:rPr>
      </w:pPr>
    </w:p>
    <w:p w:rsidR="005207D4" w:rsidRDefault="005207D4" w:rsidP="00C65397">
      <w:pPr>
        <w:pStyle w:val="ListParagraph"/>
        <w:numPr>
          <w:ilvl w:val="0"/>
          <w:numId w:val="3"/>
        </w:numPr>
        <w:spacing w:after="0" w:line="264" w:lineRule="auto"/>
        <w:rPr>
          <w:rFonts w:ascii="Times New Roman" w:hAnsi="Times New Roman" w:cs="Times New Roman"/>
        </w:rPr>
      </w:pPr>
      <w:r>
        <w:rPr>
          <w:rFonts w:ascii="Times New Roman" w:hAnsi="Times New Roman" w:cs="Times New Roman"/>
        </w:rPr>
        <w:t>To move forward, t</w:t>
      </w:r>
      <w:r w:rsidR="00EA12B0">
        <w:rPr>
          <w:rFonts w:ascii="Times New Roman" w:hAnsi="Times New Roman" w:cs="Times New Roman"/>
        </w:rPr>
        <w:t>he study presents a range of options that IATI could choose with regard to the introducing a budget identifier or not to the IATI standard:</w:t>
      </w:r>
    </w:p>
    <w:p w:rsidR="005207D4" w:rsidRPr="005207D4" w:rsidRDefault="005207D4" w:rsidP="005207D4">
      <w:pPr>
        <w:pStyle w:val="ListParagraph"/>
        <w:rPr>
          <w:rFonts w:ascii="Times New Roman" w:hAnsi="Times New Roman" w:cs="Times New Roman"/>
        </w:rPr>
      </w:pPr>
    </w:p>
    <w:p w:rsidR="004D7DA2" w:rsidRDefault="005207D4" w:rsidP="005207D4">
      <w:pPr>
        <w:pStyle w:val="ListParagraph"/>
        <w:numPr>
          <w:ilvl w:val="1"/>
          <w:numId w:val="3"/>
        </w:numPr>
        <w:spacing w:after="0" w:line="264" w:lineRule="auto"/>
        <w:rPr>
          <w:rFonts w:ascii="Times New Roman" w:hAnsi="Times New Roman" w:cs="Times New Roman"/>
        </w:rPr>
      </w:pPr>
      <w:r w:rsidRPr="00C53D3F">
        <w:rPr>
          <w:rFonts w:ascii="Times New Roman" w:hAnsi="Times New Roman" w:cs="Times New Roman"/>
          <w:i/>
        </w:rPr>
        <w:t>O</w:t>
      </w:r>
      <w:r w:rsidR="004D7DA2" w:rsidRPr="00C53D3F">
        <w:rPr>
          <w:rFonts w:ascii="Times New Roman" w:hAnsi="Times New Roman" w:cs="Times New Roman"/>
          <w:i/>
        </w:rPr>
        <w:t>ption 1: L</w:t>
      </w:r>
      <w:r w:rsidRPr="00C53D3F">
        <w:rPr>
          <w:rFonts w:ascii="Times New Roman" w:hAnsi="Times New Roman" w:cs="Times New Roman"/>
          <w:i/>
        </w:rPr>
        <w:t>eave the IATI standard as it is</w:t>
      </w:r>
      <w:r w:rsidR="004D7DA2" w:rsidRPr="005207D4">
        <w:rPr>
          <w:rFonts w:ascii="Times New Roman" w:hAnsi="Times New Roman" w:cs="Times New Roman"/>
        </w:rPr>
        <w:t xml:space="preserve"> – already</w:t>
      </w:r>
      <w:r>
        <w:rPr>
          <w:rFonts w:ascii="Times New Roman" w:hAnsi="Times New Roman" w:cs="Times New Roman"/>
        </w:rPr>
        <w:t xml:space="preserve"> it includes</w:t>
      </w:r>
      <w:r w:rsidR="004D7DA2" w:rsidRPr="005207D4">
        <w:rPr>
          <w:rFonts w:ascii="Times New Roman" w:hAnsi="Times New Roman" w:cs="Times New Roman"/>
        </w:rPr>
        <w:t xml:space="preserve"> CRS code</w:t>
      </w:r>
      <w:r>
        <w:rPr>
          <w:rFonts w:ascii="Times New Roman" w:hAnsi="Times New Roman" w:cs="Times New Roman"/>
        </w:rPr>
        <w:t>s</w:t>
      </w:r>
      <w:r w:rsidR="004D7DA2" w:rsidRPr="005207D4">
        <w:rPr>
          <w:rFonts w:ascii="Times New Roman" w:hAnsi="Times New Roman" w:cs="Times New Roman"/>
        </w:rPr>
        <w:t xml:space="preserve"> </w:t>
      </w:r>
      <w:r>
        <w:rPr>
          <w:rFonts w:ascii="Times New Roman" w:hAnsi="Times New Roman" w:cs="Times New Roman"/>
        </w:rPr>
        <w:t xml:space="preserve">and information on the </w:t>
      </w:r>
      <w:r w:rsidR="00C53D3F">
        <w:rPr>
          <w:rFonts w:ascii="Times New Roman" w:hAnsi="Times New Roman" w:cs="Times New Roman"/>
        </w:rPr>
        <w:t>‘</w:t>
      </w:r>
      <w:r w:rsidR="004D7DA2" w:rsidRPr="005207D4">
        <w:rPr>
          <w:rFonts w:ascii="Times New Roman" w:hAnsi="Times New Roman" w:cs="Times New Roman"/>
        </w:rPr>
        <w:t>participatin</w:t>
      </w:r>
      <w:r>
        <w:rPr>
          <w:rFonts w:ascii="Times New Roman" w:hAnsi="Times New Roman" w:cs="Times New Roman"/>
        </w:rPr>
        <w:t>g</w:t>
      </w:r>
      <w:r w:rsidR="004D7DA2" w:rsidRPr="005207D4">
        <w:rPr>
          <w:rFonts w:ascii="Times New Roman" w:hAnsi="Times New Roman" w:cs="Times New Roman"/>
        </w:rPr>
        <w:t xml:space="preserve"> org</w:t>
      </w:r>
      <w:r>
        <w:rPr>
          <w:rFonts w:ascii="Times New Roman" w:hAnsi="Times New Roman" w:cs="Times New Roman"/>
        </w:rPr>
        <w:t>anization/</w:t>
      </w:r>
      <w:proofErr w:type="gramStart"/>
      <w:r w:rsidR="004D7DA2" w:rsidRPr="005207D4">
        <w:rPr>
          <w:rFonts w:ascii="Times New Roman" w:hAnsi="Times New Roman" w:cs="Times New Roman"/>
        </w:rPr>
        <w:t>accountable</w:t>
      </w:r>
      <w:proofErr w:type="gramEnd"/>
      <w:r w:rsidR="004D7DA2" w:rsidRPr="005207D4">
        <w:rPr>
          <w:rFonts w:ascii="Times New Roman" w:hAnsi="Times New Roman" w:cs="Times New Roman"/>
        </w:rPr>
        <w:t xml:space="preserve"> </w:t>
      </w:r>
      <w:r>
        <w:rPr>
          <w:rFonts w:ascii="Times New Roman" w:hAnsi="Times New Roman" w:cs="Times New Roman"/>
        </w:rPr>
        <w:t>organization</w:t>
      </w:r>
      <w:r w:rsidR="00C53D3F">
        <w:rPr>
          <w:rFonts w:ascii="Times New Roman" w:hAnsi="Times New Roman" w:cs="Times New Roman"/>
        </w:rPr>
        <w:t>’</w:t>
      </w:r>
      <w:r>
        <w:rPr>
          <w:rFonts w:ascii="Times New Roman" w:hAnsi="Times New Roman" w:cs="Times New Roman"/>
        </w:rPr>
        <w:t>. Issues with this include that</w:t>
      </w:r>
      <w:r w:rsidR="004D7DA2" w:rsidRPr="005207D4">
        <w:rPr>
          <w:rFonts w:ascii="Times New Roman" w:hAnsi="Times New Roman" w:cs="Times New Roman"/>
        </w:rPr>
        <w:t xml:space="preserve"> CRS</w:t>
      </w:r>
      <w:r>
        <w:rPr>
          <w:rFonts w:ascii="Times New Roman" w:hAnsi="Times New Roman" w:cs="Times New Roman"/>
        </w:rPr>
        <w:t xml:space="preserve"> codes</w:t>
      </w:r>
      <w:r w:rsidR="004D7DA2" w:rsidRPr="005207D4">
        <w:rPr>
          <w:rFonts w:ascii="Times New Roman" w:hAnsi="Times New Roman" w:cs="Times New Roman"/>
        </w:rPr>
        <w:t xml:space="preserve"> map to some sectors but </w:t>
      </w:r>
      <w:r w:rsidR="00C53D3F">
        <w:rPr>
          <w:rFonts w:ascii="Times New Roman" w:hAnsi="Times New Roman" w:cs="Times New Roman"/>
        </w:rPr>
        <w:t>to others not at all; and it seems that IATI signatories are struggling with providing the right information in the data field for ‘accountable organization’, since it is not recorded in their MIS. In addition, the</w:t>
      </w:r>
      <w:r w:rsidR="001C7E7B">
        <w:rPr>
          <w:rFonts w:ascii="Times New Roman" w:hAnsi="Times New Roman" w:cs="Times New Roman"/>
        </w:rPr>
        <w:t xml:space="preserve">re are issues </w:t>
      </w:r>
      <w:r w:rsidR="001C7E7B" w:rsidRPr="001C7E7B">
        <w:rPr>
          <w:rFonts w:ascii="Times New Roman" w:hAnsi="Times New Roman" w:cs="Times New Roman"/>
          <w:lang w:val="en-ZA"/>
        </w:rPr>
        <w:t xml:space="preserve">with countries where </w:t>
      </w:r>
      <w:r w:rsidR="001C7E7B">
        <w:rPr>
          <w:rFonts w:ascii="Times New Roman" w:hAnsi="Times New Roman" w:cs="Times New Roman"/>
          <w:lang w:val="en-ZA"/>
        </w:rPr>
        <w:t xml:space="preserve">the </w:t>
      </w:r>
      <w:r w:rsidR="001C7E7B" w:rsidRPr="001C7E7B">
        <w:rPr>
          <w:rFonts w:ascii="Times New Roman" w:hAnsi="Times New Roman" w:cs="Times New Roman"/>
          <w:lang w:val="en-ZA"/>
        </w:rPr>
        <w:t>signatory of</w:t>
      </w:r>
      <w:r w:rsidR="001C7E7B">
        <w:rPr>
          <w:rFonts w:ascii="Times New Roman" w:hAnsi="Times New Roman" w:cs="Times New Roman"/>
          <w:lang w:val="en-ZA"/>
        </w:rPr>
        <w:t xml:space="preserve"> a</w:t>
      </w:r>
      <w:r w:rsidR="001C7E7B" w:rsidRPr="001C7E7B">
        <w:rPr>
          <w:rFonts w:ascii="Times New Roman" w:hAnsi="Times New Roman" w:cs="Times New Roman"/>
          <w:lang w:val="en-ZA"/>
        </w:rPr>
        <w:t xml:space="preserve"> financing agreement is not</w:t>
      </w:r>
      <w:r w:rsidR="001C7E7B">
        <w:rPr>
          <w:rFonts w:ascii="Times New Roman" w:hAnsi="Times New Roman" w:cs="Times New Roman"/>
          <w:lang w:val="en-ZA"/>
        </w:rPr>
        <w:t xml:space="preserve"> the</w:t>
      </w:r>
      <w:r w:rsidR="001C7E7B" w:rsidRPr="001C7E7B">
        <w:rPr>
          <w:rFonts w:ascii="Times New Roman" w:hAnsi="Times New Roman" w:cs="Times New Roman"/>
          <w:lang w:val="en-ZA"/>
        </w:rPr>
        <w:t xml:space="preserve"> institution against whose budget funds are used</w:t>
      </w:r>
      <w:r w:rsidR="001C7E7B">
        <w:rPr>
          <w:rFonts w:ascii="Times New Roman" w:hAnsi="Times New Roman" w:cs="Times New Roman"/>
          <w:lang w:val="en-ZA"/>
        </w:rPr>
        <w:t xml:space="preserve">. </w:t>
      </w:r>
      <w:r w:rsidR="00CB2A8B">
        <w:rPr>
          <w:rFonts w:ascii="Times New Roman" w:hAnsi="Times New Roman" w:cs="Times New Roman"/>
        </w:rPr>
        <w:t xml:space="preserve">On balance, the study team believes it to be more likely </w:t>
      </w:r>
      <w:r w:rsidR="004D7DA2" w:rsidRPr="005207D4">
        <w:rPr>
          <w:rFonts w:ascii="Times New Roman" w:hAnsi="Times New Roman" w:cs="Times New Roman"/>
        </w:rPr>
        <w:t xml:space="preserve">that a common code with which donor staff can grow familiar will provide good info. </w:t>
      </w:r>
    </w:p>
    <w:p w:rsidR="00D15F5B" w:rsidRDefault="00F36124" w:rsidP="00C65397">
      <w:pPr>
        <w:pStyle w:val="ListParagraph"/>
        <w:numPr>
          <w:ilvl w:val="1"/>
          <w:numId w:val="3"/>
        </w:numPr>
        <w:spacing w:after="0" w:line="264" w:lineRule="auto"/>
        <w:rPr>
          <w:rFonts w:ascii="Times New Roman" w:hAnsi="Times New Roman" w:cs="Times New Roman"/>
        </w:rPr>
      </w:pPr>
      <w:r w:rsidRPr="00F36124">
        <w:rPr>
          <w:rFonts w:ascii="Times New Roman" w:hAnsi="Times New Roman" w:cs="Times New Roman"/>
          <w:i/>
        </w:rPr>
        <w:t>O</w:t>
      </w:r>
      <w:r w:rsidR="004F2FC3" w:rsidRPr="00F36124">
        <w:rPr>
          <w:rFonts w:ascii="Times New Roman" w:hAnsi="Times New Roman" w:cs="Times New Roman"/>
          <w:i/>
        </w:rPr>
        <w:t>pt</w:t>
      </w:r>
      <w:r w:rsidRPr="00F36124">
        <w:rPr>
          <w:rFonts w:ascii="Times New Roman" w:hAnsi="Times New Roman" w:cs="Times New Roman"/>
          <w:i/>
        </w:rPr>
        <w:t>ion</w:t>
      </w:r>
      <w:r w:rsidR="004F2FC3" w:rsidRPr="00F36124">
        <w:rPr>
          <w:rFonts w:ascii="Times New Roman" w:hAnsi="Times New Roman" w:cs="Times New Roman"/>
          <w:i/>
        </w:rPr>
        <w:t xml:space="preserve"> 2: </w:t>
      </w:r>
      <w:r w:rsidRPr="00F36124">
        <w:rPr>
          <w:rFonts w:ascii="Times New Roman" w:hAnsi="Times New Roman" w:cs="Times New Roman"/>
          <w:i/>
        </w:rPr>
        <w:t>T</w:t>
      </w:r>
      <w:r w:rsidR="004F2FC3" w:rsidRPr="00F36124">
        <w:rPr>
          <w:rFonts w:ascii="Times New Roman" w:hAnsi="Times New Roman" w:cs="Times New Roman"/>
          <w:i/>
        </w:rPr>
        <w:t xml:space="preserve">weak </w:t>
      </w:r>
      <w:r>
        <w:rPr>
          <w:rFonts w:ascii="Times New Roman" w:hAnsi="Times New Roman" w:cs="Times New Roman"/>
          <w:i/>
        </w:rPr>
        <w:t>‘</w:t>
      </w:r>
      <w:proofErr w:type="gramStart"/>
      <w:r w:rsidRPr="00F36124">
        <w:rPr>
          <w:rFonts w:ascii="Times New Roman" w:hAnsi="Times New Roman" w:cs="Times New Roman"/>
          <w:i/>
        </w:rPr>
        <w:t>accountable</w:t>
      </w:r>
      <w:proofErr w:type="gramEnd"/>
      <w:r w:rsidRPr="00F36124">
        <w:rPr>
          <w:rFonts w:ascii="Times New Roman" w:hAnsi="Times New Roman" w:cs="Times New Roman"/>
          <w:i/>
        </w:rPr>
        <w:t xml:space="preserve"> </w:t>
      </w:r>
      <w:r w:rsidR="004F2FC3" w:rsidRPr="00F36124">
        <w:rPr>
          <w:rFonts w:ascii="Times New Roman" w:hAnsi="Times New Roman" w:cs="Times New Roman"/>
          <w:i/>
        </w:rPr>
        <w:t>org</w:t>
      </w:r>
      <w:r w:rsidRPr="00F36124">
        <w:rPr>
          <w:rFonts w:ascii="Times New Roman" w:hAnsi="Times New Roman" w:cs="Times New Roman"/>
          <w:i/>
        </w:rPr>
        <w:t>anization</w:t>
      </w:r>
      <w:r>
        <w:rPr>
          <w:rFonts w:ascii="Times New Roman" w:hAnsi="Times New Roman" w:cs="Times New Roman"/>
          <w:i/>
        </w:rPr>
        <w:t>’</w:t>
      </w:r>
      <w:r w:rsidRPr="00F36124">
        <w:rPr>
          <w:rFonts w:ascii="Times New Roman" w:hAnsi="Times New Roman" w:cs="Times New Roman"/>
          <w:i/>
        </w:rPr>
        <w:t xml:space="preserve"> </w:t>
      </w:r>
      <w:r>
        <w:rPr>
          <w:rFonts w:ascii="Times New Roman" w:hAnsi="Times New Roman" w:cs="Times New Roman"/>
        </w:rPr>
        <w:t>–</w:t>
      </w:r>
      <w:r w:rsidR="004F2FC3" w:rsidRPr="00F36124">
        <w:rPr>
          <w:rFonts w:ascii="Times New Roman" w:hAnsi="Times New Roman" w:cs="Times New Roman"/>
        </w:rPr>
        <w:t xml:space="preserve"> </w:t>
      </w:r>
      <w:r>
        <w:rPr>
          <w:rFonts w:ascii="Times New Roman" w:hAnsi="Times New Roman" w:cs="Times New Roman"/>
        </w:rPr>
        <w:t xml:space="preserve">The definition of </w:t>
      </w:r>
      <w:r w:rsidR="00BA1EAB">
        <w:rPr>
          <w:rFonts w:ascii="Times New Roman" w:hAnsi="Times New Roman" w:cs="Times New Roman"/>
        </w:rPr>
        <w:t xml:space="preserve">the data field could be tweaked </w:t>
      </w:r>
      <w:r w:rsidR="00B11AC6">
        <w:rPr>
          <w:rFonts w:ascii="Times New Roman" w:hAnsi="Times New Roman" w:cs="Times New Roman"/>
        </w:rPr>
        <w:t>t</w:t>
      </w:r>
      <w:r w:rsidR="004F2FC3" w:rsidRPr="00F36124">
        <w:rPr>
          <w:rFonts w:ascii="Times New Roman" w:hAnsi="Times New Roman" w:cs="Times New Roman"/>
        </w:rPr>
        <w:t xml:space="preserve">o </w:t>
      </w:r>
      <w:r w:rsidR="00B11AC6">
        <w:rPr>
          <w:rFonts w:ascii="Times New Roman" w:hAnsi="Times New Roman" w:cs="Times New Roman"/>
        </w:rPr>
        <w:t xml:space="preserve">solve the issue </w:t>
      </w:r>
      <w:r w:rsidR="00B11AC6" w:rsidRPr="00B11AC6">
        <w:rPr>
          <w:rFonts w:ascii="Times New Roman" w:hAnsi="Times New Roman" w:cs="Times New Roman"/>
          <w:lang w:val="en-ZA"/>
        </w:rPr>
        <w:t xml:space="preserve">with countries where </w:t>
      </w:r>
      <w:r w:rsidR="00B11AC6">
        <w:rPr>
          <w:rFonts w:ascii="Times New Roman" w:hAnsi="Times New Roman" w:cs="Times New Roman"/>
          <w:lang w:val="en-ZA"/>
        </w:rPr>
        <w:t xml:space="preserve">the </w:t>
      </w:r>
      <w:r w:rsidR="00B11AC6" w:rsidRPr="00B11AC6">
        <w:rPr>
          <w:rFonts w:ascii="Times New Roman" w:hAnsi="Times New Roman" w:cs="Times New Roman"/>
          <w:lang w:val="en-ZA"/>
        </w:rPr>
        <w:t>signatory of</w:t>
      </w:r>
      <w:r w:rsidR="00B11AC6">
        <w:rPr>
          <w:rFonts w:ascii="Times New Roman" w:hAnsi="Times New Roman" w:cs="Times New Roman"/>
          <w:lang w:val="en-ZA"/>
        </w:rPr>
        <w:t xml:space="preserve"> a</w:t>
      </w:r>
      <w:r w:rsidR="00B11AC6" w:rsidRPr="00B11AC6">
        <w:rPr>
          <w:rFonts w:ascii="Times New Roman" w:hAnsi="Times New Roman" w:cs="Times New Roman"/>
          <w:lang w:val="en-ZA"/>
        </w:rPr>
        <w:t xml:space="preserve"> financing agreement is not </w:t>
      </w:r>
      <w:r w:rsidR="00B11AC6">
        <w:rPr>
          <w:rFonts w:ascii="Times New Roman" w:hAnsi="Times New Roman" w:cs="Times New Roman"/>
          <w:lang w:val="en-ZA"/>
        </w:rPr>
        <w:t xml:space="preserve">the </w:t>
      </w:r>
      <w:r w:rsidR="00B11AC6" w:rsidRPr="00B11AC6">
        <w:rPr>
          <w:rFonts w:ascii="Times New Roman" w:hAnsi="Times New Roman" w:cs="Times New Roman"/>
          <w:lang w:val="en-ZA"/>
        </w:rPr>
        <w:t>institution against whose budget funds are used</w:t>
      </w:r>
      <w:r w:rsidR="00B11AC6">
        <w:rPr>
          <w:rFonts w:ascii="Times New Roman" w:hAnsi="Times New Roman" w:cs="Times New Roman"/>
          <w:lang w:val="en-ZA"/>
        </w:rPr>
        <w:t>.</w:t>
      </w:r>
      <w:r w:rsidR="00BA1EAB">
        <w:rPr>
          <w:rFonts w:ascii="Times New Roman" w:hAnsi="Times New Roman" w:cs="Times New Roman"/>
        </w:rPr>
        <w:t xml:space="preserve"> </w:t>
      </w:r>
    </w:p>
    <w:p w:rsidR="00932BA7" w:rsidRPr="00932BA7" w:rsidRDefault="00D15F5B" w:rsidP="00932BA7">
      <w:pPr>
        <w:pStyle w:val="ListParagraph"/>
        <w:numPr>
          <w:ilvl w:val="1"/>
          <w:numId w:val="3"/>
        </w:numPr>
        <w:spacing w:after="0" w:line="264" w:lineRule="auto"/>
        <w:rPr>
          <w:rFonts w:ascii="Times New Roman" w:hAnsi="Times New Roman" w:cs="Times New Roman"/>
        </w:rPr>
      </w:pPr>
      <w:r w:rsidRPr="00932BA7">
        <w:rPr>
          <w:rFonts w:ascii="Times New Roman" w:hAnsi="Times New Roman" w:cs="Times New Roman"/>
          <w:i/>
        </w:rPr>
        <w:t>Option 3: Include common code in IATI standard</w:t>
      </w:r>
      <w:r w:rsidR="00932BA7">
        <w:rPr>
          <w:rFonts w:ascii="Times New Roman" w:hAnsi="Times New Roman" w:cs="Times New Roman"/>
        </w:rPr>
        <w:t xml:space="preserve"> – </w:t>
      </w:r>
      <w:r w:rsidRPr="00932BA7">
        <w:rPr>
          <w:rFonts w:ascii="Times New Roman" w:hAnsi="Times New Roman" w:cs="Times New Roman"/>
        </w:rPr>
        <w:t>The</w:t>
      </w:r>
      <w:r w:rsidR="00945A16" w:rsidRPr="00932BA7">
        <w:rPr>
          <w:rFonts w:ascii="Times New Roman" w:hAnsi="Times New Roman" w:cs="Times New Roman"/>
        </w:rPr>
        <w:t xml:space="preserve"> impact </w:t>
      </w:r>
      <w:r w:rsidRPr="00932BA7">
        <w:rPr>
          <w:rFonts w:ascii="Times New Roman" w:hAnsi="Times New Roman" w:cs="Times New Roman"/>
        </w:rPr>
        <w:t xml:space="preserve">that this would have would differ across countries, being </w:t>
      </w:r>
      <w:r w:rsidR="00945A16" w:rsidRPr="00932BA7">
        <w:rPr>
          <w:rFonts w:ascii="Times New Roman" w:hAnsi="Times New Roman" w:cs="Times New Roman"/>
        </w:rPr>
        <w:t>greater for those w</w:t>
      </w:r>
      <w:r w:rsidRPr="00932BA7">
        <w:rPr>
          <w:rFonts w:ascii="Times New Roman" w:hAnsi="Times New Roman" w:cs="Times New Roman"/>
        </w:rPr>
        <w:t>ith</w:t>
      </w:r>
      <w:r w:rsidR="00945A16" w:rsidRPr="00932BA7">
        <w:rPr>
          <w:rFonts w:ascii="Times New Roman" w:hAnsi="Times New Roman" w:cs="Times New Roman"/>
        </w:rPr>
        <w:t xml:space="preserve">out </w:t>
      </w:r>
      <w:r w:rsidRPr="00932BA7">
        <w:rPr>
          <w:rFonts w:ascii="Times New Roman" w:hAnsi="Times New Roman" w:cs="Times New Roman"/>
        </w:rPr>
        <w:t xml:space="preserve">effective AIMS and aid information collection systems. This would help developing countries to </w:t>
      </w:r>
      <w:r w:rsidR="00945A16" w:rsidRPr="00932BA7">
        <w:rPr>
          <w:rFonts w:ascii="Times New Roman" w:hAnsi="Times New Roman" w:cs="Times New Roman"/>
        </w:rPr>
        <w:t xml:space="preserve">map aid </w:t>
      </w:r>
      <w:r w:rsidR="00945A16" w:rsidRPr="00932BA7">
        <w:rPr>
          <w:rFonts w:ascii="Times New Roman" w:hAnsi="Times New Roman" w:cs="Times New Roman"/>
        </w:rPr>
        <w:lastRenderedPageBreak/>
        <w:t xml:space="preserve">flows against </w:t>
      </w:r>
      <w:r w:rsidRPr="00932BA7">
        <w:rPr>
          <w:rFonts w:ascii="Times New Roman" w:hAnsi="Times New Roman" w:cs="Times New Roman"/>
        </w:rPr>
        <w:t xml:space="preserve">their </w:t>
      </w:r>
      <w:r w:rsidR="00945A16" w:rsidRPr="00932BA7">
        <w:rPr>
          <w:rFonts w:ascii="Times New Roman" w:hAnsi="Times New Roman" w:cs="Times New Roman"/>
        </w:rPr>
        <w:t>budget</w:t>
      </w:r>
      <w:r w:rsidRPr="00932BA7">
        <w:rPr>
          <w:rFonts w:ascii="Times New Roman" w:hAnsi="Times New Roman" w:cs="Times New Roman"/>
        </w:rPr>
        <w:t>s. Including the budget identifier in the IATI standard would be cost-neutral for donors, since the cost for adding the new chart field would be off-set by the reduction of staff time working on data (d</w:t>
      </w:r>
      <w:r w:rsidR="00945A16" w:rsidRPr="00932BA7">
        <w:rPr>
          <w:rFonts w:ascii="Times New Roman" w:hAnsi="Times New Roman" w:cs="Times New Roman"/>
        </w:rPr>
        <w:t xml:space="preserve">onors need about </w:t>
      </w:r>
      <w:r w:rsidRPr="00932BA7">
        <w:rPr>
          <w:rFonts w:ascii="Times New Roman" w:hAnsi="Times New Roman" w:cs="Times New Roman"/>
        </w:rPr>
        <w:t>three</w:t>
      </w:r>
      <w:r w:rsidR="00945A16" w:rsidRPr="00932BA7">
        <w:rPr>
          <w:rFonts w:ascii="Times New Roman" w:hAnsi="Times New Roman" w:cs="Times New Roman"/>
        </w:rPr>
        <w:t xml:space="preserve"> days in average to get </w:t>
      </w:r>
      <w:r w:rsidRPr="00932BA7">
        <w:rPr>
          <w:rFonts w:ascii="Times New Roman" w:hAnsi="Times New Roman" w:cs="Times New Roman"/>
        </w:rPr>
        <w:t xml:space="preserve">together the </w:t>
      </w:r>
      <w:r w:rsidR="00945A16" w:rsidRPr="00932BA7">
        <w:rPr>
          <w:rFonts w:ascii="Times New Roman" w:hAnsi="Times New Roman" w:cs="Times New Roman"/>
        </w:rPr>
        <w:t>info</w:t>
      </w:r>
      <w:r w:rsidRPr="00932BA7">
        <w:rPr>
          <w:rFonts w:ascii="Times New Roman" w:hAnsi="Times New Roman" w:cs="Times New Roman"/>
        </w:rPr>
        <w:t>rmation</w:t>
      </w:r>
      <w:r w:rsidR="00945A16" w:rsidRPr="00932BA7">
        <w:rPr>
          <w:rFonts w:ascii="Times New Roman" w:hAnsi="Times New Roman" w:cs="Times New Roman"/>
        </w:rPr>
        <w:t xml:space="preserve"> on aid flows required by </w:t>
      </w:r>
      <w:r w:rsidRPr="00932BA7">
        <w:rPr>
          <w:rFonts w:ascii="Times New Roman" w:hAnsi="Times New Roman" w:cs="Times New Roman"/>
        </w:rPr>
        <w:t xml:space="preserve">developing country </w:t>
      </w:r>
      <w:r w:rsidR="00945A16" w:rsidRPr="00932BA7">
        <w:rPr>
          <w:rFonts w:ascii="Times New Roman" w:hAnsi="Times New Roman" w:cs="Times New Roman"/>
        </w:rPr>
        <w:t>government</w:t>
      </w:r>
      <w:r w:rsidRPr="00932BA7">
        <w:rPr>
          <w:rFonts w:ascii="Times New Roman" w:hAnsi="Times New Roman" w:cs="Times New Roman"/>
        </w:rPr>
        <w:t>s).</w:t>
      </w:r>
      <w:r w:rsidR="00945A16" w:rsidRPr="00932BA7">
        <w:rPr>
          <w:rFonts w:ascii="Times New Roman" w:hAnsi="Times New Roman" w:cs="Times New Roman"/>
        </w:rPr>
        <w:t xml:space="preserve"> </w:t>
      </w:r>
    </w:p>
    <w:p w:rsidR="00945A16" w:rsidRPr="0024572C" w:rsidRDefault="00932BA7" w:rsidP="00932BA7">
      <w:pPr>
        <w:pStyle w:val="ListParagraph"/>
        <w:numPr>
          <w:ilvl w:val="1"/>
          <w:numId w:val="3"/>
        </w:numPr>
        <w:spacing w:after="0" w:line="264" w:lineRule="auto"/>
        <w:rPr>
          <w:rFonts w:ascii="Times New Roman" w:hAnsi="Times New Roman" w:cs="Times New Roman"/>
        </w:rPr>
      </w:pPr>
      <w:r w:rsidRPr="0024572C">
        <w:rPr>
          <w:rFonts w:ascii="Times New Roman" w:hAnsi="Times New Roman" w:cs="Times New Roman"/>
          <w:i/>
        </w:rPr>
        <w:t>Option 4</w:t>
      </w:r>
      <w:r w:rsidRPr="0024572C">
        <w:rPr>
          <w:rFonts w:ascii="Times New Roman" w:hAnsi="Times New Roman" w:cs="Times New Roman"/>
        </w:rPr>
        <w:t xml:space="preserve">: </w:t>
      </w:r>
      <w:r w:rsidRPr="0024572C">
        <w:rPr>
          <w:rFonts w:ascii="Times New Roman" w:hAnsi="Times New Roman" w:cs="Times New Roman"/>
          <w:i/>
        </w:rPr>
        <w:t>Add economic classification</w:t>
      </w:r>
      <w:r w:rsidRPr="0024572C">
        <w:rPr>
          <w:rFonts w:ascii="Times New Roman" w:hAnsi="Times New Roman" w:cs="Times New Roman"/>
        </w:rPr>
        <w:t xml:space="preserve"> – </w:t>
      </w:r>
      <w:r w:rsidR="00945A16" w:rsidRPr="0024572C">
        <w:rPr>
          <w:rFonts w:ascii="Times New Roman" w:hAnsi="Times New Roman" w:cs="Times New Roman"/>
        </w:rPr>
        <w:t xml:space="preserve">not only </w:t>
      </w:r>
      <w:r w:rsidR="004A7733" w:rsidRPr="0024572C">
        <w:rPr>
          <w:rFonts w:ascii="Times New Roman" w:hAnsi="Times New Roman" w:cs="Times New Roman"/>
        </w:rPr>
        <w:t xml:space="preserve">information on </w:t>
      </w:r>
      <w:r w:rsidR="00945A16" w:rsidRPr="0024572C">
        <w:rPr>
          <w:rFonts w:ascii="Times New Roman" w:hAnsi="Times New Roman" w:cs="Times New Roman"/>
        </w:rPr>
        <w:t>sector</w:t>
      </w:r>
      <w:r w:rsidR="004A7733" w:rsidRPr="0024572C">
        <w:rPr>
          <w:rFonts w:ascii="Times New Roman" w:hAnsi="Times New Roman" w:cs="Times New Roman"/>
        </w:rPr>
        <w:t xml:space="preserve">s is needed </w:t>
      </w:r>
      <w:r w:rsidR="00945A16" w:rsidRPr="0024572C">
        <w:rPr>
          <w:rFonts w:ascii="Times New Roman" w:hAnsi="Times New Roman" w:cs="Times New Roman"/>
        </w:rPr>
        <w:t xml:space="preserve">to map </w:t>
      </w:r>
      <w:r w:rsidR="004A7733" w:rsidRPr="0024572C">
        <w:rPr>
          <w:rFonts w:ascii="Times New Roman" w:hAnsi="Times New Roman" w:cs="Times New Roman"/>
        </w:rPr>
        <w:t>aid to country</w:t>
      </w:r>
      <w:r w:rsidR="00945A16" w:rsidRPr="0024572C">
        <w:rPr>
          <w:rFonts w:ascii="Times New Roman" w:hAnsi="Times New Roman" w:cs="Times New Roman"/>
        </w:rPr>
        <w:t xml:space="preserve"> budgets</w:t>
      </w:r>
      <w:r w:rsidR="004A7733" w:rsidRPr="0024572C">
        <w:rPr>
          <w:rFonts w:ascii="Times New Roman" w:hAnsi="Times New Roman" w:cs="Times New Roman"/>
        </w:rPr>
        <w:t xml:space="preserve">, but the </w:t>
      </w:r>
      <w:r w:rsidR="00945A16" w:rsidRPr="0024572C">
        <w:rPr>
          <w:rFonts w:ascii="Times New Roman" w:hAnsi="Times New Roman" w:cs="Times New Roman"/>
        </w:rPr>
        <w:t>eco</w:t>
      </w:r>
      <w:r w:rsidR="004A7733" w:rsidRPr="0024572C">
        <w:rPr>
          <w:rFonts w:ascii="Times New Roman" w:hAnsi="Times New Roman" w:cs="Times New Roman"/>
        </w:rPr>
        <w:t>nomic</w:t>
      </w:r>
      <w:r w:rsidR="00945A16" w:rsidRPr="0024572C">
        <w:rPr>
          <w:rFonts w:ascii="Times New Roman" w:hAnsi="Times New Roman" w:cs="Times New Roman"/>
        </w:rPr>
        <w:t xml:space="preserve"> classification</w:t>
      </w:r>
      <w:r w:rsidR="004A7733" w:rsidRPr="0024572C">
        <w:rPr>
          <w:rFonts w:ascii="Times New Roman" w:hAnsi="Times New Roman" w:cs="Times New Roman"/>
        </w:rPr>
        <w:t xml:space="preserve"> is</w:t>
      </w:r>
      <w:r w:rsidR="00945A16" w:rsidRPr="0024572C">
        <w:rPr>
          <w:rFonts w:ascii="Times New Roman" w:hAnsi="Times New Roman" w:cs="Times New Roman"/>
        </w:rPr>
        <w:t xml:space="preserve"> equally important</w:t>
      </w:r>
      <w:r w:rsidR="004A7733" w:rsidRPr="0024572C">
        <w:rPr>
          <w:rFonts w:ascii="Times New Roman" w:hAnsi="Times New Roman" w:cs="Times New Roman"/>
        </w:rPr>
        <w:t xml:space="preserve"> to do </w:t>
      </w:r>
      <w:r w:rsidR="00945A16" w:rsidRPr="0024572C">
        <w:rPr>
          <w:rFonts w:ascii="Times New Roman" w:hAnsi="Times New Roman" w:cs="Times New Roman"/>
        </w:rPr>
        <w:t>macroeconomic projection</w:t>
      </w:r>
      <w:r w:rsidR="004A7733" w:rsidRPr="0024572C">
        <w:rPr>
          <w:rFonts w:ascii="Times New Roman" w:hAnsi="Times New Roman" w:cs="Times New Roman"/>
        </w:rPr>
        <w:t>s</w:t>
      </w:r>
      <w:r w:rsidR="00945A16" w:rsidRPr="0024572C">
        <w:rPr>
          <w:rFonts w:ascii="Times New Roman" w:hAnsi="Times New Roman" w:cs="Times New Roman"/>
        </w:rPr>
        <w:t xml:space="preserve"> (</w:t>
      </w:r>
      <w:r w:rsidR="004A7733" w:rsidRPr="0024572C">
        <w:rPr>
          <w:rFonts w:ascii="Times New Roman" w:hAnsi="Times New Roman" w:cs="Times New Roman"/>
        </w:rPr>
        <w:t xml:space="preserve">i.e. </w:t>
      </w:r>
      <w:r w:rsidR="00945A16" w:rsidRPr="0024572C">
        <w:rPr>
          <w:rFonts w:ascii="Times New Roman" w:hAnsi="Times New Roman" w:cs="Times New Roman"/>
        </w:rPr>
        <w:t xml:space="preserve">gauge </w:t>
      </w:r>
      <w:r w:rsidR="004A7733" w:rsidRPr="0024572C">
        <w:rPr>
          <w:rFonts w:ascii="Times New Roman" w:hAnsi="Times New Roman" w:cs="Times New Roman"/>
        </w:rPr>
        <w:t xml:space="preserve">the </w:t>
      </w:r>
      <w:r w:rsidR="00945A16" w:rsidRPr="0024572C">
        <w:rPr>
          <w:rFonts w:ascii="Times New Roman" w:hAnsi="Times New Roman" w:cs="Times New Roman"/>
        </w:rPr>
        <w:t>f</w:t>
      </w:r>
      <w:r w:rsidR="004A7733" w:rsidRPr="0024572C">
        <w:rPr>
          <w:rFonts w:ascii="Times New Roman" w:hAnsi="Times New Roman" w:cs="Times New Roman"/>
        </w:rPr>
        <w:t>or</w:t>
      </w:r>
      <w:r w:rsidR="00945A16" w:rsidRPr="0024572C">
        <w:rPr>
          <w:rFonts w:ascii="Times New Roman" w:hAnsi="Times New Roman" w:cs="Times New Roman"/>
        </w:rPr>
        <w:t>w</w:t>
      </w:r>
      <w:r w:rsidR="004A7733" w:rsidRPr="0024572C">
        <w:rPr>
          <w:rFonts w:ascii="Times New Roman" w:hAnsi="Times New Roman" w:cs="Times New Roman"/>
        </w:rPr>
        <w:t>ar</w:t>
      </w:r>
      <w:r w:rsidR="00945A16" w:rsidRPr="0024572C">
        <w:rPr>
          <w:rFonts w:ascii="Times New Roman" w:hAnsi="Times New Roman" w:cs="Times New Roman"/>
        </w:rPr>
        <w:t>d cost of today’s investment in terms of capital versus recurrent; identify proportion that is capital spending</w:t>
      </w:r>
      <w:r w:rsidR="00F24C52" w:rsidRPr="0024572C">
        <w:rPr>
          <w:rFonts w:ascii="Times New Roman" w:hAnsi="Times New Roman" w:cs="Times New Roman"/>
        </w:rPr>
        <w:t xml:space="preserve"> at a minimum based on G</w:t>
      </w:r>
      <w:r w:rsidR="004A7733" w:rsidRPr="0024572C">
        <w:rPr>
          <w:rFonts w:ascii="Times New Roman" w:hAnsi="Times New Roman" w:cs="Times New Roman"/>
        </w:rPr>
        <w:t xml:space="preserve">overnment </w:t>
      </w:r>
      <w:r w:rsidR="00F24C52" w:rsidRPr="0024572C">
        <w:rPr>
          <w:rFonts w:ascii="Times New Roman" w:hAnsi="Times New Roman" w:cs="Times New Roman"/>
        </w:rPr>
        <w:t>F</w:t>
      </w:r>
      <w:r w:rsidR="004A7733" w:rsidRPr="0024572C">
        <w:rPr>
          <w:rFonts w:ascii="Times New Roman" w:hAnsi="Times New Roman" w:cs="Times New Roman"/>
        </w:rPr>
        <w:t xml:space="preserve">inance </w:t>
      </w:r>
      <w:r w:rsidR="00F24C52" w:rsidRPr="0024572C">
        <w:rPr>
          <w:rFonts w:ascii="Times New Roman" w:hAnsi="Times New Roman" w:cs="Times New Roman"/>
        </w:rPr>
        <w:t>S</w:t>
      </w:r>
      <w:r w:rsidR="004A7733" w:rsidRPr="0024572C">
        <w:rPr>
          <w:rFonts w:ascii="Times New Roman" w:hAnsi="Times New Roman" w:cs="Times New Roman"/>
        </w:rPr>
        <w:t>tatistics (GFS)</w:t>
      </w:r>
      <w:r w:rsidR="00F24C52" w:rsidRPr="0024572C">
        <w:rPr>
          <w:rFonts w:ascii="Times New Roman" w:hAnsi="Times New Roman" w:cs="Times New Roman"/>
        </w:rPr>
        <w:t xml:space="preserve"> classification</w:t>
      </w:r>
      <w:r w:rsidR="00945A16" w:rsidRPr="0024572C">
        <w:rPr>
          <w:rFonts w:ascii="Times New Roman" w:hAnsi="Times New Roman" w:cs="Times New Roman"/>
        </w:rPr>
        <w:t>);</w:t>
      </w:r>
      <w:r w:rsidR="004A7733" w:rsidRPr="0024572C">
        <w:rPr>
          <w:rFonts w:ascii="Times New Roman" w:hAnsi="Times New Roman" w:cs="Times New Roman"/>
        </w:rPr>
        <w:t xml:space="preserve"> information on the economic classification is</w:t>
      </w:r>
      <w:r w:rsidR="00945A16" w:rsidRPr="0024572C">
        <w:rPr>
          <w:rFonts w:ascii="Times New Roman" w:hAnsi="Times New Roman" w:cs="Times New Roman"/>
        </w:rPr>
        <w:t xml:space="preserve"> needed for on-budget </w:t>
      </w:r>
      <w:r w:rsidR="004A7733" w:rsidRPr="0024572C">
        <w:rPr>
          <w:rFonts w:ascii="Times New Roman" w:hAnsi="Times New Roman" w:cs="Times New Roman"/>
        </w:rPr>
        <w:t xml:space="preserve">but </w:t>
      </w:r>
      <w:r w:rsidR="00945A16" w:rsidRPr="0024572C">
        <w:rPr>
          <w:rFonts w:ascii="Times New Roman" w:hAnsi="Times New Roman" w:cs="Times New Roman"/>
        </w:rPr>
        <w:t>crucially also for off-budget</w:t>
      </w:r>
      <w:r w:rsidR="004A7733" w:rsidRPr="0024572C">
        <w:rPr>
          <w:rFonts w:ascii="Times New Roman" w:hAnsi="Times New Roman" w:cs="Times New Roman"/>
        </w:rPr>
        <w:t xml:space="preserve"> assistance</w:t>
      </w:r>
      <w:r w:rsidR="00945A16" w:rsidRPr="0024572C">
        <w:rPr>
          <w:rFonts w:ascii="Times New Roman" w:hAnsi="Times New Roman" w:cs="Times New Roman"/>
        </w:rPr>
        <w:t xml:space="preserve">. </w:t>
      </w:r>
      <w:r w:rsidR="004A7733" w:rsidRPr="0024572C">
        <w:rPr>
          <w:rFonts w:ascii="Times New Roman" w:hAnsi="Times New Roman" w:cs="Times New Roman"/>
        </w:rPr>
        <w:t xml:space="preserve">While adding a chart field on economic classification in donor reporting systems </w:t>
      </w:r>
      <w:r w:rsidR="00945A16" w:rsidRPr="0024572C">
        <w:rPr>
          <w:rFonts w:ascii="Times New Roman" w:hAnsi="Times New Roman" w:cs="Times New Roman"/>
        </w:rPr>
        <w:t>will not be cost-neutral</w:t>
      </w:r>
      <w:r w:rsidR="004A7733" w:rsidRPr="0024572C">
        <w:rPr>
          <w:rFonts w:ascii="Times New Roman" w:hAnsi="Times New Roman" w:cs="Times New Roman"/>
        </w:rPr>
        <w:t xml:space="preserve">, it would have </w:t>
      </w:r>
      <w:r w:rsidR="00F24C52" w:rsidRPr="0024572C">
        <w:rPr>
          <w:rFonts w:ascii="Times New Roman" w:hAnsi="Times New Roman" w:cs="Times New Roman"/>
        </w:rPr>
        <w:t>significant development impact.</w:t>
      </w:r>
      <w:r w:rsidR="0024572C" w:rsidRPr="0024572C">
        <w:rPr>
          <w:rFonts w:ascii="Times New Roman" w:hAnsi="Times New Roman" w:cs="Times New Roman"/>
        </w:rPr>
        <w:t xml:space="preserve"> At the </w:t>
      </w:r>
      <w:r w:rsidR="0024572C" w:rsidRPr="0024572C">
        <w:rPr>
          <w:rFonts w:ascii="Times New Roman" w:hAnsi="Times New Roman" w:cs="Times New Roman"/>
          <w:lang w:val="en-ZA"/>
        </w:rPr>
        <w:t xml:space="preserve">minimum, the IATI standard could require that donors </w:t>
      </w:r>
      <w:r w:rsidR="000451DA" w:rsidRPr="0024572C">
        <w:rPr>
          <w:rFonts w:ascii="Times New Roman" w:hAnsi="Times New Roman" w:cs="Times New Roman"/>
          <w:lang w:val="en-ZA"/>
        </w:rPr>
        <w:t>identify</w:t>
      </w:r>
      <w:r w:rsidR="0024572C" w:rsidRPr="0024572C">
        <w:rPr>
          <w:rFonts w:ascii="Times New Roman" w:hAnsi="Times New Roman" w:cs="Times New Roman"/>
          <w:lang w:val="en-ZA"/>
        </w:rPr>
        <w:t xml:space="preserve"> the</w:t>
      </w:r>
      <w:r w:rsidR="000451DA" w:rsidRPr="0024572C">
        <w:rPr>
          <w:rFonts w:ascii="Times New Roman" w:hAnsi="Times New Roman" w:cs="Times New Roman"/>
          <w:lang w:val="en-ZA"/>
        </w:rPr>
        <w:t xml:space="preserve"> proportion </w:t>
      </w:r>
      <w:r w:rsidR="0024572C" w:rsidRPr="0024572C">
        <w:rPr>
          <w:rFonts w:ascii="Times New Roman" w:hAnsi="Times New Roman" w:cs="Times New Roman"/>
          <w:lang w:val="en-ZA"/>
        </w:rPr>
        <w:t xml:space="preserve">of an aid flow </w:t>
      </w:r>
      <w:r w:rsidR="000451DA" w:rsidRPr="0024572C">
        <w:rPr>
          <w:rFonts w:ascii="Times New Roman" w:hAnsi="Times New Roman" w:cs="Times New Roman"/>
          <w:lang w:val="en-ZA"/>
        </w:rPr>
        <w:t>that is capital spending</w:t>
      </w:r>
      <w:r w:rsidR="0024572C" w:rsidRPr="0024572C">
        <w:rPr>
          <w:rFonts w:ascii="Times New Roman" w:hAnsi="Times New Roman" w:cs="Times New Roman"/>
          <w:lang w:val="en-ZA"/>
        </w:rPr>
        <w:t>.</w:t>
      </w:r>
    </w:p>
    <w:p w:rsidR="00F24C52" w:rsidRDefault="00F24C52" w:rsidP="00C65397">
      <w:pPr>
        <w:pStyle w:val="ListParagraph"/>
        <w:numPr>
          <w:ilvl w:val="1"/>
          <w:numId w:val="3"/>
        </w:numPr>
        <w:spacing w:after="0" w:line="264" w:lineRule="auto"/>
        <w:rPr>
          <w:rFonts w:ascii="Times New Roman" w:hAnsi="Times New Roman" w:cs="Times New Roman"/>
        </w:rPr>
      </w:pPr>
      <w:r w:rsidRPr="00753902">
        <w:rPr>
          <w:rFonts w:ascii="Times New Roman" w:hAnsi="Times New Roman" w:cs="Times New Roman"/>
          <w:i/>
        </w:rPr>
        <w:t>Opt</w:t>
      </w:r>
      <w:r w:rsidR="00753902">
        <w:rPr>
          <w:rFonts w:ascii="Times New Roman" w:hAnsi="Times New Roman" w:cs="Times New Roman"/>
          <w:i/>
        </w:rPr>
        <w:t>ion</w:t>
      </w:r>
      <w:r w:rsidRPr="00753902">
        <w:rPr>
          <w:rFonts w:ascii="Times New Roman" w:hAnsi="Times New Roman" w:cs="Times New Roman"/>
          <w:i/>
        </w:rPr>
        <w:t xml:space="preserve"> </w:t>
      </w:r>
      <w:r w:rsidR="002C7D3A">
        <w:rPr>
          <w:rFonts w:ascii="Times New Roman" w:hAnsi="Times New Roman" w:cs="Times New Roman"/>
          <w:i/>
        </w:rPr>
        <w:t>5: I</w:t>
      </w:r>
      <w:r w:rsidRPr="00753902">
        <w:rPr>
          <w:rFonts w:ascii="Times New Roman" w:hAnsi="Times New Roman" w:cs="Times New Roman"/>
          <w:i/>
        </w:rPr>
        <w:t>nclude common code and eco</w:t>
      </w:r>
      <w:r w:rsidR="002C7D3A">
        <w:rPr>
          <w:rFonts w:ascii="Times New Roman" w:hAnsi="Times New Roman" w:cs="Times New Roman"/>
          <w:i/>
        </w:rPr>
        <w:t>nomic</w:t>
      </w:r>
      <w:r w:rsidRPr="00753902">
        <w:rPr>
          <w:rFonts w:ascii="Times New Roman" w:hAnsi="Times New Roman" w:cs="Times New Roman"/>
          <w:i/>
        </w:rPr>
        <w:t xml:space="preserve"> classification</w:t>
      </w:r>
      <w:r w:rsidR="002C7D3A">
        <w:rPr>
          <w:rFonts w:ascii="Times New Roman" w:hAnsi="Times New Roman" w:cs="Times New Roman"/>
          <w:i/>
        </w:rPr>
        <w:t xml:space="preserve"> in the IATI standard</w:t>
      </w:r>
      <w:r w:rsidRPr="004A7733">
        <w:rPr>
          <w:rFonts w:ascii="Times New Roman" w:hAnsi="Times New Roman" w:cs="Times New Roman"/>
        </w:rPr>
        <w:t xml:space="preserve"> – </w:t>
      </w:r>
      <w:r w:rsidR="002C7D3A">
        <w:rPr>
          <w:rFonts w:ascii="Times New Roman" w:hAnsi="Times New Roman" w:cs="Times New Roman"/>
        </w:rPr>
        <w:t xml:space="preserve">This would have the </w:t>
      </w:r>
      <w:r w:rsidRPr="004A7733">
        <w:rPr>
          <w:rFonts w:ascii="Times New Roman" w:hAnsi="Times New Roman" w:cs="Times New Roman"/>
        </w:rPr>
        <w:t xml:space="preserve">highest impact but </w:t>
      </w:r>
      <w:r w:rsidR="002C7D3A">
        <w:rPr>
          <w:rFonts w:ascii="Times New Roman" w:hAnsi="Times New Roman" w:cs="Times New Roman"/>
        </w:rPr>
        <w:t xml:space="preserve">is </w:t>
      </w:r>
      <w:r w:rsidRPr="004A7733">
        <w:rPr>
          <w:rFonts w:ascii="Times New Roman" w:hAnsi="Times New Roman" w:cs="Times New Roman"/>
        </w:rPr>
        <w:t>not cost-neutral</w:t>
      </w:r>
      <w:r w:rsidR="002C7D3A">
        <w:rPr>
          <w:rFonts w:ascii="Times New Roman" w:hAnsi="Times New Roman" w:cs="Times New Roman"/>
        </w:rPr>
        <w:t>.</w:t>
      </w:r>
    </w:p>
    <w:p w:rsidR="002C7D3A" w:rsidRPr="002C7D3A" w:rsidRDefault="002C7D3A" w:rsidP="002C7D3A">
      <w:pPr>
        <w:pStyle w:val="ListParagraph"/>
        <w:numPr>
          <w:ilvl w:val="1"/>
          <w:numId w:val="3"/>
        </w:numPr>
        <w:spacing w:after="0" w:line="264" w:lineRule="auto"/>
        <w:rPr>
          <w:rFonts w:ascii="Times New Roman" w:hAnsi="Times New Roman" w:cs="Times New Roman"/>
        </w:rPr>
      </w:pPr>
      <w:r w:rsidRPr="002C7D3A">
        <w:rPr>
          <w:rFonts w:ascii="Times New Roman" w:hAnsi="Times New Roman" w:cs="Times New Roman"/>
          <w:i/>
        </w:rPr>
        <w:t>Option 6</w:t>
      </w:r>
      <w:r w:rsidRPr="002C7D3A">
        <w:rPr>
          <w:rFonts w:ascii="Times New Roman" w:hAnsi="Times New Roman" w:cs="Times New Roman"/>
        </w:rPr>
        <w:t xml:space="preserve">: </w:t>
      </w:r>
      <w:r w:rsidRPr="002C7D3A">
        <w:rPr>
          <w:rFonts w:ascii="Times New Roman" w:hAnsi="Times New Roman" w:cs="Times New Roman"/>
          <w:i/>
        </w:rPr>
        <w:t>Drop ‘</w:t>
      </w:r>
      <w:proofErr w:type="gramStart"/>
      <w:r w:rsidRPr="002C7D3A">
        <w:rPr>
          <w:rFonts w:ascii="Times New Roman" w:hAnsi="Times New Roman" w:cs="Times New Roman"/>
          <w:i/>
        </w:rPr>
        <w:t>accountable</w:t>
      </w:r>
      <w:proofErr w:type="gramEnd"/>
      <w:r w:rsidRPr="002C7D3A">
        <w:rPr>
          <w:rFonts w:ascii="Times New Roman" w:hAnsi="Times New Roman" w:cs="Times New Roman"/>
          <w:i/>
        </w:rPr>
        <w:t xml:space="preserve"> organization’ field and include </w:t>
      </w:r>
      <w:r w:rsidR="00F24C52" w:rsidRPr="002C7D3A">
        <w:rPr>
          <w:rFonts w:ascii="Times New Roman" w:hAnsi="Times New Roman" w:cs="Times New Roman"/>
          <w:i/>
        </w:rPr>
        <w:t>common code and/or eco</w:t>
      </w:r>
      <w:r w:rsidRPr="002C7D3A">
        <w:rPr>
          <w:rFonts w:ascii="Times New Roman" w:hAnsi="Times New Roman" w:cs="Times New Roman"/>
          <w:i/>
        </w:rPr>
        <w:t>nomic</w:t>
      </w:r>
      <w:r w:rsidR="00F24C52" w:rsidRPr="002C7D3A">
        <w:rPr>
          <w:rFonts w:ascii="Times New Roman" w:hAnsi="Times New Roman" w:cs="Times New Roman"/>
          <w:i/>
        </w:rPr>
        <w:t xml:space="preserve"> classification</w:t>
      </w:r>
      <w:r>
        <w:rPr>
          <w:rFonts w:ascii="Times New Roman" w:hAnsi="Times New Roman" w:cs="Times New Roman"/>
        </w:rPr>
        <w:t xml:space="preserve"> – high impact, not cost-neutral.</w:t>
      </w:r>
    </w:p>
    <w:p w:rsidR="00090277" w:rsidRDefault="00090277" w:rsidP="00C65397">
      <w:pPr>
        <w:spacing w:after="0" w:line="264" w:lineRule="auto"/>
        <w:rPr>
          <w:rFonts w:ascii="Times New Roman" w:hAnsi="Times New Roman" w:cs="Times New Roman"/>
        </w:rPr>
      </w:pPr>
    </w:p>
    <w:p w:rsidR="000F1F96" w:rsidRPr="000F1F96" w:rsidRDefault="00090277" w:rsidP="000F1F96">
      <w:pPr>
        <w:pStyle w:val="ListParagraph"/>
        <w:numPr>
          <w:ilvl w:val="0"/>
          <w:numId w:val="3"/>
        </w:numPr>
        <w:spacing w:after="0" w:line="264" w:lineRule="auto"/>
        <w:rPr>
          <w:rFonts w:ascii="Times New Roman" w:hAnsi="Times New Roman" w:cs="Times New Roman"/>
        </w:rPr>
      </w:pPr>
      <w:r>
        <w:rPr>
          <w:rFonts w:ascii="Times New Roman" w:hAnsi="Times New Roman" w:cs="Times New Roman"/>
        </w:rPr>
        <w:t xml:space="preserve">From the point of view of the study team, option 5 would be the preferred option, followed by option 6, then option 4, then option 3, and then option 2, with option 1 being the least preferred option. </w:t>
      </w:r>
    </w:p>
    <w:p w:rsidR="00090277" w:rsidRDefault="00090277" w:rsidP="00BA677C">
      <w:pPr>
        <w:spacing w:after="0" w:line="264" w:lineRule="auto"/>
        <w:rPr>
          <w:rFonts w:ascii="Times New Roman" w:hAnsi="Times New Roman" w:cs="Times New Roman"/>
        </w:rPr>
      </w:pPr>
    </w:p>
    <w:p w:rsidR="00BA677C" w:rsidRPr="00C65397" w:rsidRDefault="00BA677C" w:rsidP="00BA677C">
      <w:pPr>
        <w:spacing w:after="0" w:line="264" w:lineRule="auto"/>
        <w:rPr>
          <w:rFonts w:ascii="Times New Roman" w:hAnsi="Times New Roman" w:cs="Times New Roman"/>
          <w:u w:val="single"/>
        </w:rPr>
      </w:pPr>
      <w:r>
        <w:rPr>
          <w:rFonts w:ascii="Times New Roman" w:hAnsi="Times New Roman" w:cs="Times New Roman"/>
          <w:u w:val="single"/>
        </w:rPr>
        <w:t>Discussion:</w:t>
      </w:r>
    </w:p>
    <w:p w:rsidR="00BA677C" w:rsidRPr="00BA677C" w:rsidRDefault="00BA677C" w:rsidP="00BA677C">
      <w:pPr>
        <w:spacing w:after="0" w:line="264" w:lineRule="auto"/>
        <w:rPr>
          <w:rFonts w:ascii="Times New Roman" w:hAnsi="Times New Roman" w:cs="Times New Roman"/>
        </w:rPr>
      </w:pPr>
    </w:p>
    <w:p w:rsidR="00F24C52" w:rsidRDefault="004408C8" w:rsidP="008F05D5">
      <w:pPr>
        <w:pStyle w:val="ListParagraph"/>
        <w:numPr>
          <w:ilvl w:val="0"/>
          <w:numId w:val="6"/>
        </w:numPr>
        <w:spacing w:after="0" w:line="264" w:lineRule="auto"/>
        <w:rPr>
          <w:rFonts w:ascii="Times New Roman" w:hAnsi="Times New Roman" w:cs="Times New Roman"/>
        </w:rPr>
      </w:pPr>
      <w:r>
        <w:rPr>
          <w:rFonts w:ascii="Times New Roman" w:hAnsi="Times New Roman" w:cs="Times New Roman"/>
        </w:rPr>
        <w:t xml:space="preserve">Brian Hammond, </w:t>
      </w:r>
      <w:r w:rsidR="008F05D5">
        <w:rPr>
          <w:rFonts w:ascii="Times New Roman" w:hAnsi="Times New Roman" w:cs="Times New Roman"/>
        </w:rPr>
        <w:t>IATI TAG Chair explained that the ‘</w:t>
      </w:r>
      <w:proofErr w:type="gramStart"/>
      <w:r w:rsidR="008F05D5">
        <w:rPr>
          <w:rFonts w:ascii="Times New Roman" w:hAnsi="Times New Roman" w:cs="Times New Roman"/>
        </w:rPr>
        <w:t>accountable</w:t>
      </w:r>
      <w:proofErr w:type="gramEnd"/>
      <w:r w:rsidR="008F05D5">
        <w:rPr>
          <w:rFonts w:ascii="Times New Roman" w:hAnsi="Times New Roman" w:cs="Times New Roman"/>
        </w:rPr>
        <w:t xml:space="preserve"> organization’ field had been added to the standard </w:t>
      </w:r>
      <w:r w:rsidR="00F24C52" w:rsidRPr="008F05D5">
        <w:rPr>
          <w:rFonts w:ascii="Times New Roman" w:hAnsi="Times New Roman" w:cs="Times New Roman"/>
        </w:rPr>
        <w:t>as</w:t>
      </w:r>
      <w:r w:rsidR="008F05D5">
        <w:rPr>
          <w:rFonts w:ascii="Times New Roman" w:hAnsi="Times New Roman" w:cs="Times New Roman"/>
        </w:rPr>
        <w:t xml:space="preserve"> a </w:t>
      </w:r>
      <w:r w:rsidR="00F24C52" w:rsidRPr="008F05D5">
        <w:rPr>
          <w:rFonts w:ascii="Times New Roman" w:hAnsi="Times New Roman" w:cs="Times New Roman"/>
        </w:rPr>
        <w:t xml:space="preserve">result of earlier work </w:t>
      </w:r>
      <w:r w:rsidR="008F05D5">
        <w:rPr>
          <w:rFonts w:ascii="Times New Roman" w:hAnsi="Times New Roman" w:cs="Times New Roman"/>
        </w:rPr>
        <w:t xml:space="preserve">on budget alignment </w:t>
      </w:r>
      <w:r w:rsidR="00F24C52" w:rsidRPr="008F05D5">
        <w:rPr>
          <w:rFonts w:ascii="Times New Roman" w:hAnsi="Times New Roman" w:cs="Times New Roman"/>
        </w:rPr>
        <w:t xml:space="preserve">as a step on the way to </w:t>
      </w:r>
      <w:r w:rsidR="00C124EA">
        <w:rPr>
          <w:rFonts w:ascii="Times New Roman" w:hAnsi="Times New Roman" w:cs="Times New Roman"/>
        </w:rPr>
        <w:t xml:space="preserve">achieve </w:t>
      </w:r>
      <w:r w:rsidR="00F24C52" w:rsidRPr="008F05D5">
        <w:rPr>
          <w:rFonts w:ascii="Times New Roman" w:hAnsi="Times New Roman" w:cs="Times New Roman"/>
        </w:rPr>
        <w:t xml:space="preserve">better alignment. </w:t>
      </w:r>
      <w:r w:rsidR="00C124EA">
        <w:rPr>
          <w:rFonts w:ascii="Times New Roman" w:hAnsi="Times New Roman" w:cs="Times New Roman"/>
        </w:rPr>
        <w:t>I</w:t>
      </w:r>
      <w:r w:rsidR="00F24C52" w:rsidRPr="008F05D5">
        <w:rPr>
          <w:rFonts w:ascii="Times New Roman" w:hAnsi="Times New Roman" w:cs="Times New Roman"/>
        </w:rPr>
        <w:t>f</w:t>
      </w:r>
      <w:r w:rsidR="00C124EA">
        <w:rPr>
          <w:rFonts w:ascii="Times New Roman" w:hAnsi="Times New Roman" w:cs="Times New Roman"/>
        </w:rPr>
        <w:t xml:space="preserve"> the </w:t>
      </w:r>
      <w:r w:rsidR="00F24C52" w:rsidRPr="008F05D5">
        <w:rPr>
          <w:rFonts w:ascii="Times New Roman" w:hAnsi="Times New Roman" w:cs="Times New Roman"/>
        </w:rPr>
        <w:t xml:space="preserve">study now shows that this not the best way, </w:t>
      </w:r>
      <w:r w:rsidR="00C124EA">
        <w:rPr>
          <w:rFonts w:ascii="Times New Roman" w:hAnsi="Times New Roman" w:cs="Times New Roman"/>
        </w:rPr>
        <w:t xml:space="preserve">he said, it would </w:t>
      </w:r>
      <w:r w:rsidR="00F24C52" w:rsidRPr="008F05D5">
        <w:rPr>
          <w:rFonts w:ascii="Times New Roman" w:hAnsi="Times New Roman" w:cs="Times New Roman"/>
        </w:rPr>
        <w:t xml:space="preserve">not take much to ask </w:t>
      </w:r>
      <w:r w:rsidR="00C124EA">
        <w:rPr>
          <w:rFonts w:ascii="Times New Roman" w:hAnsi="Times New Roman" w:cs="Times New Roman"/>
        </w:rPr>
        <w:t xml:space="preserve">the IATI </w:t>
      </w:r>
      <w:r w:rsidR="00F24C52" w:rsidRPr="008F05D5">
        <w:rPr>
          <w:rFonts w:ascii="Times New Roman" w:hAnsi="Times New Roman" w:cs="Times New Roman"/>
        </w:rPr>
        <w:t>S</w:t>
      </w:r>
      <w:r w:rsidR="00C124EA">
        <w:rPr>
          <w:rFonts w:ascii="Times New Roman" w:hAnsi="Times New Roman" w:cs="Times New Roman"/>
        </w:rPr>
        <w:t xml:space="preserve">teering </w:t>
      </w:r>
      <w:r w:rsidR="00F24C52" w:rsidRPr="008F05D5">
        <w:rPr>
          <w:rFonts w:ascii="Times New Roman" w:hAnsi="Times New Roman" w:cs="Times New Roman"/>
        </w:rPr>
        <w:t>C</w:t>
      </w:r>
      <w:r w:rsidR="00C124EA">
        <w:rPr>
          <w:rFonts w:ascii="Times New Roman" w:hAnsi="Times New Roman" w:cs="Times New Roman"/>
        </w:rPr>
        <w:t>ommittee</w:t>
      </w:r>
      <w:r w:rsidR="00F24C52" w:rsidRPr="008F05D5">
        <w:rPr>
          <w:rFonts w:ascii="Times New Roman" w:hAnsi="Times New Roman" w:cs="Times New Roman"/>
        </w:rPr>
        <w:t xml:space="preserve"> to </w:t>
      </w:r>
      <w:r w:rsidR="00C124EA">
        <w:rPr>
          <w:rFonts w:ascii="Times New Roman" w:hAnsi="Times New Roman" w:cs="Times New Roman"/>
        </w:rPr>
        <w:t xml:space="preserve">abandon </w:t>
      </w:r>
      <w:r w:rsidR="00F24C52" w:rsidRPr="008F05D5">
        <w:rPr>
          <w:rFonts w:ascii="Times New Roman" w:hAnsi="Times New Roman" w:cs="Times New Roman"/>
        </w:rPr>
        <w:t>this interim solution and put in place s</w:t>
      </w:r>
      <w:r w:rsidR="00C124EA">
        <w:rPr>
          <w:rFonts w:ascii="Times New Roman" w:hAnsi="Times New Roman" w:cs="Times New Roman"/>
        </w:rPr>
        <w:t>ome</w:t>
      </w:r>
      <w:r w:rsidR="00F24C52" w:rsidRPr="008F05D5">
        <w:rPr>
          <w:rFonts w:ascii="Times New Roman" w:hAnsi="Times New Roman" w:cs="Times New Roman"/>
        </w:rPr>
        <w:t>th</w:t>
      </w:r>
      <w:r w:rsidR="00C124EA">
        <w:rPr>
          <w:rFonts w:ascii="Times New Roman" w:hAnsi="Times New Roman" w:cs="Times New Roman"/>
        </w:rPr>
        <w:t>ing</w:t>
      </w:r>
      <w:r w:rsidR="00F24C52" w:rsidRPr="008F05D5">
        <w:rPr>
          <w:rFonts w:ascii="Times New Roman" w:hAnsi="Times New Roman" w:cs="Times New Roman"/>
        </w:rPr>
        <w:t xml:space="preserve"> better.</w:t>
      </w:r>
    </w:p>
    <w:p w:rsidR="00C124EA" w:rsidRDefault="00C124EA" w:rsidP="00C124EA">
      <w:pPr>
        <w:pStyle w:val="ListParagraph"/>
        <w:spacing w:after="0" w:line="264" w:lineRule="auto"/>
        <w:rPr>
          <w:rFonts w:ascii="Times New Roman" w:hAnsi="Times New Roman" w:cs="Times New Roman"/>
        </w:rPr>
      </w:pPr>
    </w:p>
    <w:p w:rsidR="009E649D" w:rsidRDefault="004408C8" w:rsidP="009E649D">
      <w:pPr>
        <w:pStyle w:val="ListParagraph"/>
        <w:numPr>
          <w:ilvl w:val="0"/>
          <w:numId w:val="6"/>
        </w:numPr>
        <w:spacing w:after="0" w:line="264" w:lineRule="auto"/>
        <w:rPr>
          <w:rFonts w:ascii="Times New Roman" w:hAnsi="Times New Roman" w:cs="Times New Roman"/>
        </w:rPr>
      </w:pPr>
      <w:r>
        <w:rPr>
          <w:rFonts w:ascii="Times New Roman" w:hAnsi="Times New Roman" w:cs="Times New Roman"/>
        </w:rPr>
        <w:t>Bill Anderson, IATI TAG, informed that to date, no IATI signatory had published information on the ‘</w:t>
      </w:r>
      <w:proofErr w:type="gramStart"/>
      <w:r>
        <w:rPr>
          <w:rFonts w:ascii="Times New Roman" w:hAnsi="Times New Roman" w:cs="Times New Roman"/>
        </w:rPr>
        <w:t>accountable</w:t>
      </w:r>
      <w:proofErr w:type="gramEnd"/>
      <w:r>
        <w:rPr>
          <w:rFonts w:ascii="Times New Roman" w:hAnsi="Times New Roman" w:cs="Times New Roman"/>
        </w:rPr>
        <w:t xml:space="preserve"> organization’ yet, which indicated that the interim fix was not currently workable.</w:t>
      </w:r>
    </w:p>
    <w:p w:rsidR="009E649D" w:rsidRPr="009E649D" w:rsidRDefault="009E649D" w:rsidP="009E649D">
      <w:pPr>
        <w:pStyle w:val="ListParagraph"/>
        <w:rPr>
          <w:rFonts w:ascii="Times New Roman" w:hAnsi="Times New Roman" w:cs="Times New Roman"/>
          <w:bCs/>
          <w:color w:val="000000"/>
        </w:rPr>
      </w:pPr>
    </w:p>
    <w:p w:rsidR="009E649D" w:rsidRDefault="009E649D" w:rsidP="009E649D">
      <w:pPr>
        <w:pStyle w:val="ListParagraph"/>
        <w:numPr>
          <w:ilvl w:val="0"/>
          <w:numId w:val="6"/>
        </w:numPr>
        <w:spacing w:after="0" w:line="264" w:lineRule="auto"/>
        <w:rPr>
          <w:rFonts w:ascii="Times New Roman" w:hAnsi="Times New Roman" w:cs="Times New Roman"/>
        </w:rPr>
      </w:pPr>
      <w:r w:rsidRPr="009E649D">
        <w:rPr>
          <w:rFonts w:ascii="Times New Roman" w:hAnsi="Times New Roman" w:cs="Times New Roman"/>
        </w:rPr>
        <w:t>Karen</w:t>
      </w:r>
      <w:r>
        <w:rPr>
          <w:rFonts w:ascii="Times New Roman" w:hAnsi="Times New Roman" w:cs="Times New Roman"/>
        </w:rPr>
        <w:t xml:space="preserve"> Christiansen, Publish What You Fund, noted that the study very well </w:t>
      </w:r>
      <w:r w:rsidRPr="009E649D">
        <w:rPr>
          <w:rFonts w:ascii="Times New Roman" w:hAnsi="Times New Roman" w:cs="Times New Roman"/>
        </w:rPr>
        <w:t>fleshe</w:t>
      </w:r>
      <w:r>
        <w:rPr>
          <w:rFonts w:ascii="Times New Roman" w:hAnsi="Times New Roman" w:cs="Times New Roman"/>
        </w:rPr>
        <w:t>d</w:t>
      </w:r>
      <w:r w:rsidRPr="009E649D">
        <w:rPr>
          <w:rFonts w:ascii="Times New Roman" w:hAnsi="Times New Roman" w:cs="Times New Roman"/>
        </w:rPr>
        <w:t xml:space="preserve"> out</w:t>
      </w:r>
      <w:r>
        <w:rPr>
          <w:rFonts w:ascii="Times New Roman" w:hAnsi="Times New Roman" w:cs="Times New Roman"/>
        </w:rPr>
        <w:t xml:space="preserve"> the evidence and indicated challenges and oppo</w:t>
      </w:r>
      <w:r w:rsidRPr="009E649D">
        <w:rPr>
          <w:rFonts w:ascii="Times New Roman" w:hAnsi="Times New Roman" w:cs="Times New Roman"/>
        </w:rPr>
        <w:t>rtunities</w:t>
      </w:r>
      <w:r>
        <w:rPr>
          <w:rFonts w:ascii="Times New Roman" w:hAnsi="Times New Roman" w:cs="Times New Roman"/>
        </w:rPr>
        <w:t xml:space="preserve"> for the budget identifier</w:t>
      </w:r>
      <w:r w:rsidRPr="009E649D">
        <w:rPr>
          <w:rFonts w:ascii="Times New Roman" w:hAnsi="Times New Roman" w:cs="Times New Roman"/>
        </w:rPr>
        <w:t xml:space="preserve">. </w:t>
      </w:r>
      <w:r>
        <w:rPr>
          <w:rFonts w:ascii="Times New Roman" w:hAnsi="Times New Roman" w:cs="Times New Roman"/>
        </w:rPr>
        <w:t>The budget identifier/common code w</w:t>
      </w:r>
      <w:r w:rsidR="001C7E7B">
        <w:rPr>
          <w:rFonts w:ascii="Times New Roman" w:hAnsi="Times New Roman" w:cs="Times New Roman"/>
        </w:rPr>
        <w:t>ould</w:t>
      </w:r>
      <w:r>
        <w:rPr>
          <w:rFonts w:ascii="Times New Roman" w:hAnsi="Times New Roman" w:cs="Times New Roman"/>
        </w:rPr>
        <w:t xml:space="preserve"> help to get to a higher level starting point at country level, but w</w:t>
      </w:r>
      <w:r w:rsidR="001C7E7B">
        <w:rPr>
          <w:rFonts w:ascii="Times New Roman" w:hAnsi="Times New Roman" w:cs="Times New Roman"/>
        </w:rPr>
        <w:t>ould</w:t>
      </w:r>
      <w:r>
        <w:rPr>
          <w:rFonts w:ascii="Times New Roman" w:hAnsi="Times New Roman" w:cs="Times New Roman"/>
        </w:rPr>
        <w:t xml:space="preserve"> not be a silver bullet to solve all problems with </w:t>
      </w:r>
      <w:r w:rsidR="001C7E7B">
        <w:rPr>
          <w:rFonts w:ascii="Times New Roman" w:hAnsi="Times New Roman" w:cs="Times New Roman"/>
        </w:rPr>
        <w:t xml:space="preserve">regard to </w:t>
      </w:r>
      <w:r>
        <w:rPr>
          <w:rFonts w:ascii="Times New Roman" w:hAnsi="Times New Roman" w:cs="Times New Roman"/>
        </w:rPr>
        <w:t>aid</w:t>
      </w:r>
      <w:r w:rsidR="001C7E7B">
        <w:rPr>
          <w:rFonts w:ascii="Times New Roman" w:hAnsi="Times New Roman" w:cs="Times New Roman"/>
        </w:rPr>
        <w:t>-to-budget alignment</w:t>
      </w:r>
      <w:r>
        <w:rPr>
          <w:rFonts w:ascii="Times New Roman" w:hAnsi="Times New Roman" w:cs="Times New Roman"/>
        </w:rPr>
        <w:t>.</w:t>
      </w:r>
      <w:r w:rsidRPr="009E649D">
        <w:rPr>
          <w:rFonts w:ascii="Times New Roman" w:hAnsi="Times New Roman" w:cs="Times New Roman"/>
        </w:rPr>
        <w:t xml:space="preserve"> </w:t>
      </w:r>
    </w:p>
    <w:p w:rsidR="009E649D" w:rsidRPr="009E649D" w:rsidRDefault="009E649D" w:rsidP="009E649D">
      <w:pPr>
        <w:pStyle w:val="ListParagraph"/>
        <w:rPr>
          <w:rFonts w:ascii="Times New Roman" w:hAnsi="Times New Roman" w:cs="Times New Roman"/>
        </w:rPr>
      </w:pPr>
    </w:p>
    <w:p w:rsidR="00B517F7" w:rsidRDefault="009E649D" w:rsidP="00B517F7">
      <w:pPr>
        <w:pStyle w:val="ListParagraph"/>
        <w:numPr>
          <w:ilvl w:val="0"/>
          <w:numId w:val="6"/>
        </w:numPr>
        <w:spacing w:after="0" w:line="264" w:lineRule="auto"/>
        <w:rPr>
          <w:rFonts w:ascii="Times New Roman" w:hAnsi="Times New Roman" w:cs="Times New Roman"/>
        </w:rPr>
      </w:pPr>
      <w:r w:rsidRPr="009E649D">
        <w:rPr>
          <w:rFonts w:ascii="Times New Roman" w:hAnsi="Times New Roman" w:cs="Times New Roman"/>
        </w:rPr>
        <w:t>Bill</w:t>
      </w:r>
      <w:r>
        <w:rPr>
          <w:rFonts w:ascii="Times New Roman" w:hAnsi="Times New Roman" w:cs="Times New Roman"/>
        </w:rPr>
        <w:t xml:space="preserve"> Anderson observed that the report relied on desk reviews for all the countries except for the DR Congo (DRC), where extensive research took place in-country. The result is that the situation in the DRC</w:t>
      </w:r>
      <w:r w:rsidR="00D644DD">
        <w:rPr>
          <w:rFonts w:ascii="Times New Roman" w:hAnsi="Times New Roman" w:cs="Times New Roman"/>
        </w:rPr>
        <w:t>, which was reported truthfully,</w:t>
      </w:r>
      <w:r>
        <w:rPr>
          <w:rFonts w:ascii="Times New Roman" w:hAnsi="Times New Roman" w:cs="Times New Roman"/>
        </w:rPr>
        <w:t xml:space="preserve"> appears more negative than in the other countries</w:t>
      </w:r>
      <w:r w:rsidR="00D644DD">
        <w:rPr>
          <w:rFonts w:ascii="Times New Roman" w:hAnsi="Times New Roman" w:cs="Times New Roman"/>
        </w:rPr>
        <w:t xml:space="preserve">, where the absence of actual country research might have led to a positive bias. A lot of important work has been done in the DRC, and the country systems were much improved. </w:t>
      </w:r>
      <w:r w:rsidR="001C7E7B">
        <w:rPr>
          <w:rFonts w:ascii="Times New Roman" w:hAnsi="Times New Roman" w:cs="Times New Roman"/>
        </w:rPr>
        <w:t xml:space="preserve">He agreed that information about the economic classification of aid was mush needed by developing countries, but said he expected that it would be difficult to </w:t>
      </w:r>
      <w:r w:rsidRPr="001C7E7B">
        <w:rPr>
          <w:rFonts w:ascii="Times New Roman" w:hAnsi="Times New Roman" w:cs="Times New Roman"/>
        </w:rPr>
        <w:t>persuade donors to disagg</w:t>
      </w:r>
      <w:r w:rsidR="001C7E7B">
        <w:rPr>
          <w:rFonts w:ascii="Times New Roman" w:hAnsi="Times New Roman" w:cs="Times New Roman"/>
        </w:rPr>
        <w:t>regate</w:t>
      </w:r>
      <w:r w:rsidRPr="001C7E7B">
        <w:rPr>
          <w:rFonts w:ascii="Times New Roman" w:hAnsi="Times New Roman" w:cs="Times New Roman"/>
        </w:rPr>
        <w:t xml:space="preserve"> their data acc</w:t>
      </w:r>
      <w:r w:rsidR="001C7E7B">
        <w:rPr>
          <w:rFonts w:ascii="Times New Roman" w:hAnsi="Times New Roman" w:cs="Times New Roman"/>
        </w:rPr>
        <w:t>ordingly</w:t>
      </w:r>
      <w:r w:rsidRPr="001C7E7B">
        <w:rPr>
          <w:rFonts w:ascii="Times New Roman" w:hAnsi="Times New Roman" w:cs="Times New Roman"/>
        </w:rPr>
        <w:t xml:space="preserve">. </w:t>
      </w:r>
      <w:r w:rsidR="001C7E7B">
        <w:rPr>
          <w:rFonts w:ascii="Times New Roman" w:hAnsi="Times New Roman" w:cs="Times New Roman"/>
        </w:rPr>
        <w:t xml:space="preserve">There would be cost implications </w:t>
      </w:r>
      <w:r w:rsidRPr="001C7E7B">
        <w:rPr>
          <w:rFonts w:ascii="Times New Roman" w:hAnsi="Times New Roman" w:cs="Times New Roman"/>
        </w:rPr>
        <w:t xml:space="preserve">not </w:t>
      </w:r>
      <w:r w:rsidR="001C7E7B">
        <w:rPr>
          <w:rFonts w:ascii="Times New Roman" w:hAnsi="Times New Roman" w:cs="Times New Roman"/>
        </w:rPr>
        <w:t xml:space="preserve">only in </w:t>
      </w:r>
      <w:r w:rsidR="001C7E7B">
        <w:rPr>
          <w:rFonts w:ascii="Times New Roman" w:hAnsi="Times New Roman" w:cs="Times New Roman"/>
        </w:rPr>
        <w:lastRenderedPageBreak/>
        <w:t xml:space="preserve">adding new data fields but also in training </w:t>
      </w:r>
      <w:r w:rsidR="000F1F96">
        <w:rPr>
          <w:rFonts w:ascii="Times New Roman" w:hAnsi="Times New Roman" w:cs="Times New Roman"/>
        </w:rPr>
        <w:t>a</w:t>
      </w:r>
      <w:r w:rsidR="001C7E7B">
        <w:rPr>
          <w:rFonts w:ascii="Times New Roman" w:hAnsi="Times New Roman" w:cs="Times New Roman"/>
        </w:rPr>
        <w:t>n</w:t>
      </w:r>
      <w:r w:rsidR="000F1F96">
        <w:rPr>
          <w:rFonts w:ascii="Times New Roman" w:hAnsi="Times New Roman" w:cs="Times New Roman"/>
        </w:rPr>
        <w:t>d</w:t>
      </w:r>
      <w:r w:rsidR="001C7E7B">
        <w:rPr>
          <w:rFonts w:ascii="Times New Roman" w:hAnsi="Times New Roman" w:cs="Times New Roman"/>
        </w:rPr>
        <w:t xml:space="preserve"> using the information. </w:t>
      </w:r>
      <w:r w:rsidR="000F1F96">
        <w:rPr>
          <w:rFonts w:ascii="Times New Roman" w:hAnsi="Times New Roman" w:cs="Times New Roman"/>
        </w:rPr>
        <w:t xml:space="preserve">Nevertheless, because of the impact that it would have, IATI should go for one of the options that include the economic classification. As regards the common code, an organization with expertise in PFM would </w:t>
      </w:r>
      <w:r w:rsidR="00D1025C">
        <w:rPr>
          <w:rFonts w:ascii="Times New Roman" w:hAnsi="Times New Roman" w:cs="Times New Roman"/>
        </w:rPr>
        <w:t xml:space="preserve">need </w:t>
      </w:r>
      <w:r w:rsidR="000F1F96">
        <w:rPr>
          <w:rFonts w:ascii="Times New Roman" w:hAnsi="Times New Roman" w:cs="Times New Roman"/>
        </w:rPr>
        <w:t>to be identified t</w:t>
      </w:r>
      <w:r w:rsidR="00D1025C">
        <w:rPr>
          <w:rFonts w:ascii="Times New Roman" w:hAnsi="Times New Roman" w:cs="Times New Roman"/>
        </w:rPr>
        <w:t xml:space="preserve">o </w:t>
      </w:r>
      <w:r w:rsidR="000F1F96">
        <w:rPr>
          <w:rFonts w:ascii="Times New Roman" w:hAnsi="Times New Roman" w:cs="Times New Roman"/>
        </w:rPr>
        <w:t>own the definition and maintain the common code lis</w:t>
      </w:r>
      <w:r w:rsidRPr="001C7E7B">
        <w:rPr>
          <w:rFonts w:ascii="Times New Roman" w:hAnsi="Times New Roman" w:cs="Times New Roman"/>
        </w:rPr>
        <w:t xml:space="preserve">t. </w:t>
      </w:r>
      <w:r w:rsidR="000F1F96">
        <w:rPr>
          <w:rFonts w:ascii="Times New Roman" w:hAnsi="Times New Roman" w:cs="Times New Roman"/>
        </w:rPr>
        <w:t>IATI cannot take on this role, as it is</w:t>
      </w:r>
      <w:r w:rsidRPr="001C7E7B">
        <w:rPr>
          <w:rFonts w:ascii="Times New Roman" w:hAnsi="Times New Roman" w:cs="Times New Roman"/>
        </w:rPr>
        <w:t xml:space="preserve"> not a content standard, but a reporting standard.</w:t>
      </w:r>
    </w:p>
    <w:p w:rsidR="00B517F7" w:rsidRDefault="00B517F7" w:rsidP="00B517F7">
      <w:pPr>
        <w:pStyle w:val="ListParagraph"/>
        <w:spacing w:after="0" w:line="264" w:lineRule="auto"/>
        <w:rPr>
          <w:rFonts w:ascii="Times New Roman" w:hAnsi="Times New Roman" w:cs="Times New Roman"/>
        </w:rPr>
      </w:pPr>
    </w:p>
    <w:p w:rsidR="00F66258" w:rsidRDefault="001653B6" w:rsidP="009E649D">
      <w:pPr>
        <w:pStyle w:val="ListParagraph"/>
        <w:numPr>
          <w:ilvl w:val="0"/>
          <w:numId w:val="6"/>
        </w:numPr>
        <w:spacing w:after="0" w:line="264" w:lineRule="auto"/>
        <w:rPr>
          <w:rFonts w:ascii="Times New Roman" w:hAnsi="Times New Roman" w:cs="Times New Roman"/>
        </w:rPr>
      </w:pPr>
      <w:r w:rsidRPr="00B517F7">
        <w:rPr>
          <w:rFonts w:ascii="Times New Roman" w:hAnsi="Times New Roman" w:cs="Times New Roman"/>
        </w:rPr>
        <w:t xml:space="preserve">In the course of the discussion, Alta </w:t>
      </w:r>
      <w:proofErr w:type="spellStart"/>
      <w:r w:rsidRPr="00B517F7">
        <w:rPr>
          <w:rFonts w:ascii="Times New Roman" w:hAnsi="Times New Roman" w:cs="Times New Roman"/>
        </w:rPr>
        <w:t>Foltscher</w:t>
      </w:r>
      <w:proofErr w:type="spellEnd"/>
      <w:r w:rsidRPr="00B517F7">
        <w:rPr>
          <w:rFonts w:ascii="Times New Roman" w:hAnsi="Times New Roman" w:cs="Times New Roman"/>
        </w:rPr>
        <w:t xml:space="preserve"> proposed a seventh option</w:t>
      </w:r>
      <w:r w:rsidR="00B517F7" w:rsidRPr="00B517F7">
        <w:rPr>
          <w:rFonts w:ascii="Times New Roman" w:hAnsi="Times New Roman" w:cs="Times New Roman"/>
        </w:rPr>
        <w:t xml:space="preserve"> </w:t>
      </w:r>
      <w:r w:rsidR="00B517F7" w:rsidRPr="00B517F7">
        <w:rPr>
          <w:rFonts w:ascii="Times New Roman" w:hAnsi="Times New Roman" w:cs="Times New Roman"/>
          <w:i/>
        </w:rPr>
        <w:t>(“adjust CRS, ensure historical compatibility and add eco classification”</w:t>
      </w:r>
      <w:r w:rsidR="00B517F7" w:rsidRPr="00B517F7">
        <w:rPr>
          <w:rFonts w:ascii="Times New Roman" w:hAnsi="Times New Roman" w:cs="Times New Roman"/>
        </w:rPr>
        <w:t>)</w:t>
      </w:r>
      <w:r w:rsidRPr="00B517F7">
        <w:rPr>
          <w:rFonts w:ascii="Times New Roman" w:hAnsi="Times New Roman" w:cs="Times New Roman"/>
        </w:rPr>
        <w:t>, namely to a</w:t>
      </w:r>
      <w:r w:rsidR="000451DA" w:rsidRPr="00B517F7">
        <w:rPr>
          <w:rFonts w:ascii="Times New Roman" w:hAnsi="Times New Roman" w:cs="Times New Roman"/>
        </w:rPr>
        <w:t xml:space="preserve">djust CRS coding in sectors </w:t>
      </w:r>
      <w:r w:rsidRPr="00B517F7">
        <w:rPr>
          <w:rFonts w:ascii="Times New Roman" w:hAnsi="Times New Roman" w:cs="Times New Roman"/>
        </w:rPr>
        <w:t>where this is</w:t>
      </w:r>
      <w:r w:rsidR="000451DA" w:rsidRPr="00B517F7">
        <w:rPr>
          <w:rFonts w:ascii="Times New Roman" w:hAnsi="Times New Roman" w:cs="Times New Roman"/>
        </w:rPr>
        <w:t xml:space="preserve"> needed, ensuring compatibility with </w:t>
      </w:r>
      <w:r w:rsidRPr="00B517F7">
        <w:rPr>
          <w:rFonts w:ascii="Times New Roman" w:hAnsi="Times New Roman" w:cs="Times New Roman"/>
        </w:rPr>
        <w:t xml:space="preserve">the </w:t>
      </w:r>
      <w:r w:rsidR="000451DA" w:rsidRPr="00B517F7">
        <w:rPr>
          <w:rFonts w:ascii="Times New Roman" w:hAnsi="Times New Roman" w:cs="Times New Roman"/>
        </w:rPr>
        <w:t>base CRS to align with historic data</w:t>
      </w:r>
      <w:r w:rsidRPr="00B517F7">
        <w:rPr>
          <w:rFonts w:ascii="Times New Roman" w:hAnsi="Times New Roman" w:cs="Times New Roman"/>
        </w:rPr>
        <w:t xml:space="preserve">, and </w:t>
      </w:r>
      <w:r w:rsidR="000451DA" w:rsidRPr="00B517F7">
        <w:rPr>
          <w:rFonts w:ascii="Times New Roman" w:hAnsi="Times New Roman" w:cs="Times New Roman"/>
        </w:rPr>
        <w:t>add economic classification.</w:t>
      </w:r>
      <w:r w:rsidRPr="00B517F7">
        <w:rPr>
          <w:rFonts w:ascii="Times New Roman" w:hAnsi="Times New Roman" w:cs="Times New Roman"/>
        </w:rPr>
        <w:t xml:space="preserve"> The CRS does not </w:t>
      </w:r>
      <w:r w:rsidR="009E649D" w:rsidRPr="00B517F7">
        <w:rPr>
          <w:rFonts w:ascii="Times New Roman" w:hAnsi="Times New Roman" w:cs="Times New Roman"/>
        </w:rPr>
        <w:t>match all sector</w:t>
      </w:r>
      <w:r w:rsidRPr="00B517F7">
        <w:rPr>
          <w:rFonts w:ascii="Times New Roman" w:hAnsi="Times New Roman" w:cs="Times New Roman"/>
        </w:rPr>
        <w:t xml:space="preserve">s, and the common code rolls up to the CRS as it is currently reported. The CRS could be further developed and detailed </w:t>
      </w:r>
      <w:r w:rsidR="00B517F7" w:rsidRPr="00B517F7">
        <w:rPr>
          <w:rFonts w:ascii="Times New Roman" w:hAnsi="Times New Roman" w:cs="Times New Roman"/>
        </w:rPr>
        <w:t xml:space="preserve">where CRS codes do not map to sectors, </w:t>
      </w:r>
      <w:r w:rsidR="003921D7">
        <w:rPr>
          <w:rFonts w:ascii="Times New Roman" w:hAnsi="Times New Roman" w:cs="Times New Roman"/>
        </w:rPr>
        <w:t>but kept compatible with the base CRS to maintain</w:t>
      </w:r>
      <w:r w:rsidR="009E649D" w:rsidRPr="00B517F7">
        <w:rPr>
          <w:rFonts w:ascii="Times New Roman" w:hAnsi="Times New Roman" w:cs="Times New Roman"/>
        </w:rPr>
        <w:t xml:space="preserve"> historic data, and le</w:t>
      </w:r>
      <w:r w:rsidR="00B517F7" w:rsidRPr="00B517F7">
        <w:rPr>
          <w:rFonts w:ascii="Times New Roman" w:hAnsi="Times New Roman" w:cs="Times New Roman"/>
        </w:rPr>
        <w:t xml:space="preserve">ft as it is in sectors </w:t>
      </w:r>
      <w:r w:rsidR="009E649D" w:rsidRPr="00B517F7">
        <w:rPr>
          <w:rFonts w:ascii="Times New Roman" w:hAnsi="Times New Roman" w:cs="Times New Roman"/>
        </w:rPr>
        <w:t>where it is sufficient</w:t>
      </w:r>
      <w:r w:rsidR="00B517F7" w:rsidRPr="00B517F7">
        <w:rPr>
          <w:rFonts w:ascii="Times New Roman" w:hAnsi="Times New Roman" w:cs="Times New Roman"/>
        </w:rPr>
        <w:t>.</w:t>
      </w:r>
    </w:p>
    <w:p w:rsidR="00A94CDD" w:rsidRPr="00A94CDD" w:rsidRDefault="00A94CDD" w:rsidP="00A94CDD">
      <w:pPr>
        <w:pStyle w:val="ListParagraph"/>
        <w:rPr>
          <w:rFonts w:ascii="Times New Roman" w:hAnsi="Times New Roman" w:cs="Times New Roman"/>
        </w:rPr>
      </w:pPr>
    </w:p>
    <w:p w:rsidR="00F66258" w:rsidRDefault="00A94CDD" w:rsidP="00F66258">
      <w:pPr>
        <w:pStyle w:val="ListParagraph"/>
        <w:numPr>
          <w:ilvl w:val="0"/>
          <w:numId w:val="6"/>
        </w:numPr>
        <w:spacing w:after="0" w:line="264" w:lineRule="auto"/>
        <w:rPr>
          <w:rFonts w:ascii="Times New Roman" w:hAnsi="Times New Roman" w:cs="Times New Roman"/>
        </w:rPr>
      </w:pPr>
      <w:r w:rsidRPr="00AD2E38">
        <w:rPr>
          <w:rFonts w:ascii="Times New Roman" w:hAnsi="Times New Roman" w:cs="Times New Roman"/>
        </w:rPr>
        <w:t xml:space="preserve">The representatives of IATI partner countries present at the meeting, </w:t>
      </w:r>
      <w:proofErr w:type="spellStart"/>
      <w:r w:rsidRPr="00AD2E38">
        <w:rPr>
          <w:rFonts w:ascii="Times New Roman" w:hAnsi="Times New Roman" w:cs="Times New Roman"/>
        </w:rPr>
        <w:t>Yvon</w:t>
      </w:r>
      <w:proofErr w:type="spellEnd"/>
      <w:r w:rsidRPr="00AD2E38">
        <w:rPr>
          <w:rFonts w:ascii="Times New Roman" w:hAnsi="Times New Roman" w:cs="Times New Roman"/>
        </w:rPr>
        <w:t xml:space="preserve"> </w:t>
      </w:r>
      <w:proofErr w:type="spellStart"/>
      <w:r w:rsidRPr="00AD2E38">
        <w:rPr>
          <w:rFonts w:ascii="Times New Roman" w:hAnsi="Times New Roman" w:cs="Times New Roman"/>
        </w:rPr>
        <w:t>Mombong</w:t>
      </w:r>
      <w:proofErr w:type="spellEnd"/>
      <w:r w:rsidRPr="00AD2E38">
        <w:rPr>
          <w:rFonts w:ascii="Times New Roman" w:hAnsi="Times New Roman" w:cs="Times New Roman"/>
        </w:rPr>
        <w:t xml:space="preserve"> (DRC), Isaora Zefania Romalahy (Madagascar), Abie Kamara (Sierra Leone), Mario Zavala (Honduras) and Arturo Gomez (Colombia) underlined that for partner countries, it is important to get information on both economic classification of aid as well as accountable organizations/sectors to make it easier</w:t>
      </w:r>
      <w:r w:rsidR="004E57B2" w:rsidRPr="00AD2E38">
        <w:rPr>
          <w:rFonts w:ascii="Times New Roman" w:hAnsi="Times New Roman" w:cs="Times New Roman"/>
        </w:rPr>
        <w:t xml:space="preserve"> for developing countries</w:t>
      </w:r>
      <w:r w:rsidRPr="00AD2E38">
        <w:rPr>
          <w:rFonts w:ascii="Times New Roman" w:hAnsi="Times New Roman" w:cs="Times New Roman"/>
        </w:rPr>
        <w:t xml:space="preserve"> to align aid with budgets.</w:t>
      </w:r>
      <w:r w:rsidR="00AD2E38" w:rsidRPr="00AD2E38">
        <w:rPr>
          <w:rFonts w:ascii="Times New Roman" w:hAnsi="Times New Roman" w:cs="Times New Roman"/>
        </w:rPr>
        <w:t xml:space="preserve"> </w:t>
      </w:r>
    </w:p>
    <w:p w:rsidR="00AD2E38" w:rsidRPr="00AD2E38" w:rsidRDefault="00AD2E38" w:rsidP="00AD2E38">
      <w:pPr>
        <w:spacing w:after="0" w:line="264" w:lineRule="auto"/>
        <w:rPr>
          <w:rFonts w:ascii="Times New Roman" w:hAnsi="Times New Roman" w:cs="Times New Roman"/>
        </w:rPr>
      </w:pPr>
    </w:p>
    <w:p w:rsidR="00D95360" w:rsidRDefault="000B0333" w:rsidP="00D95360">
      <w:pPr>
        <w:pStyle w:val="ListParagraph"/>
        <w:numPr>
          <w:ilvl w:val="0"/>
          <w:numId w:val="6"/>
        </w:numPr>
        <w:spacing w:after="0" w:line="264" w:lineRule="auto"/>
        <w:rPr>
          <w:rFonts w:ascii="Times New Roman" w:hAnsi="Times New Roman" w:cs="Times New Roman"/>
        </w:rPr>
      </w:pPr>
      <w:r>
        <w:rPr>
          <w:rFonts w:ascii="Times New Roman" w:hAnsi="Times New Roman" w:cs="Times New Roman"/>
        </w:rPr>
        <w:t xml:space="preserve">As a way forward, </w:t>
      </w:r>
      <w:r w:rsidR="009E649D" w:rsidRPr="00F66258">
        <w:rPr>
          <w:rFonts w:ascii="Times New Roman" w:hAnsi="Times New Roman" w:cs="Times New Roman"/>
        </w:rPr>
        <w:t>Brian</w:t>
      </w:r>
      <w:r w:rsidR="00F66258">
        <w:rPr>
          <w:rFonts w:ascii="Times New Roman" w:hAnsi="Times New Roman" w:cs="Times New Roman"/>
        </w:rPr>
        <w:t xml:space="preserve"> Hammond proposed </w:t>
      </w:r>
      <w:r w:rsidR="008D463B">
        <w:rPr>
          <w:rFonts w:ascii="Times New Roman" w:hAnsi="Times New Roman" w:cs="Times New Roman"/>
        </w:rPr>
        <w:t xml:space="preserve">to do mapping between the CRS and the common code to show where the latter expands the CRS. Going for a hybrid solution as proposed by Alta as the seventh option might be a better option in terms of its acceptability by stakeholders and the amount of work involved. Once the final draft of the study is available, the </w:t>
      </w:r>
      <w:r w:rsidR="00F66258">
        <w:rPr>
          <w:rFonts w:ascii="Times New Roman" w:hAnsi="Times New Roman" w:cs="Times New Roman"/>
        </w:rPr>
        <w:t>TAG sub-group on budget alignment</w:t>
      </w:r>
      <w:r w:rsidR="008D463B">
        <w:rPr>
          <w:rFonts w:ascii="Times New Roman" w:hAnsi="Times New Roman" w:cs="Times New Roman"/>
        </w:rPr>
        <w:t xml:space="preserve"> should meet to discuss the options and put forward a proposal with evidence to support it, looking at implications for implementation by donors and partner countries, for Steering Committee endorsement in autumn. </w:t>
      </w:r>
      <w:r w:rsidR="001A37FE">
        <w:rPr>
          <w:rFonts w:ascii="Times New Roman" w:hAnsi="Times New Roman" w:cs="Times New Roman"/>
        </w:rPr>
        <w:t xml:space="preserve">Also, there is a need to look at the issue of who will own and maintain the common code, how to manage in the future, and the relationship with CAFOG. </w:t>
      </w:r>
      <w:r>
        <w:rPr>
          <w:rFonts w:ascii="Times New Roman" w:hAnsi="Times New Roman" w:cs="Times New Roman"/>
        </w:rPr>
        <w:t xml:space="preserve">It was agreed to open the </w:t>
      </w:r>
      <w:r w:rsidR="001A37FE">
        <w:rPr>
          <w:rFonts w:ascii="Times New Roman" w:hAnsi="Times New Roman" w:cs="Times New Roman"/>
        </w:rPr>
        <w:t xml:space="preserve">TAG </w:t>
      </w:r>
      <w:r>
        <w:rPr>
          <w:rFonts w:ascii="Times New Roman" w:hAnsi="Times New Roman" w:cs="Times New Roman"/>
        </w:rPr>
        <w:t>sub-group membership to additional IATI members who would like to participate. CIDA expressed interest in joining the group.</w:t>
      </w:r>
    </w:p>
    <w:p w:rsidR="00A94CDD" w:rsidRPr="00A94CDD" w:rsidRDefault="00A94CDD" w:rsidP="00A94CDD">
      <w:pPr>
        <w:pStyle w:val="ListParagraph"/>
        <w:rPr>
          <w:rFonts w:ascii="Times New Roman" w:hAnsi="Times New Roman" w:cs="Times New Roman"/>
        </w:rPr>
      </w:pPr>
      <w:bookmarkStart w:id="0" w:name="_GoBack"/>
      <w:bookmarkEnd w:id="0"/>
    </w:p>
    <w:sectPr w:rsidR="00A94CDD" w:rsidRPr="00A94CDD" w:rsidSect="00144BFF">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8F" w:rsidRDefault="001D1B8F" w:rsidP="005207D4">
      <w:pPr>
        <w:spacing w:after="0" w:line="240" w:lineRule="auto"/>
      </w:pPr>
      <w:r>
        <w:separator/>
      </w:r>
    </w:p>
  </w:endnote>
  <w:endnote w:type="continuationSeparator" w:id="0">
    <w:p w:rsidR="001D1B8F" w:rsidRDefault="001D1B8F" w:rsidP="00520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8F" w:rsidRDefault="001D1B8F" w:rsidP="005207D4">
      <w:pPr>
        <w:spacing w:after="0" w:line="240" w:lineRule="auto"/>
      </w:pPr>
      <w:r>
        <w:separator/>
      </w:r>
    </w:p>
  </w:footnote>
  <w:footnote w:type="continuationSeparator" w:id="0">
    <w:p w:rsidR="001D1B8F" w:rsidRDefault="001D1B8F" w:rsidP="005207D4">
      <w:pPr>
        <w:spacing w:after="0" w:line="240" w:lineRule="auto"/>
      </w:pPr>
      <w:r>
        <w:continuationSeparator/>
      </w:r>
    </w:p>
  </w:footnote>
  <w:footnote w:id="1">
    <w:p w:rsidR="005207D4" w:rsidRPr="005207D4" w:rsidRDefault="005207D4">
      <w:pPr>
        <w:pStyle w:val="FootnoteText"/>
      </w:pPr>
      <w:r w:rsidRPr="005207D4">
        <w:rPr>
          <w:rStyle w:val="FootnoteReference"/>
        </w:rPr>
        <w:footnoteRef/>
      </w:r>
      <w:r w:rsidRPr="005207D4">
        <w:t xml:space="preserve"> </w:t>
      </w:r>
      <w:r w:rsidRPr="005207D4">
        <w:rPr>
          <w:rFonts w:ascii="Times New Roman" w:hAnsi="Times New Roman" w:cs="Times New Roman"/>
        </w:rPr>
        <w:t>Earlier work identified that the current IATI standard provides most information useful to partner country budgets except for information on the purpose of aid flows and the economic nature of aid flows.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735"/>
    <w:multiLevelType w:val="hybridMultilevel"/>
    <w:tmpl w:val="1D7C6230"/>
    <w:lvl w:ilvl="0" w:tplc="5D141B54">
      <w:start w:val="1"/>
      <w:numFmt w:val="bullet"/>
      <w:lvlText w:val="•"/>
      <w:lvlJc w:val="left"/>
      <w:pPr>
        <w:tabs>
          <w:tab w:val="num" w:pos="720"/>
        </w:tabs>
        <w:ind w:left="720" w:hanging="360"/>
      </w:pPr>
      <w:rPr>
        <w:rFonts w:ascii="Arial" w:hAnsi="Arial" w:hint="default"/>
      </w:rPr>
    </w:lvl>
    <w:lvl w:ilvl="1" w:tplc="D7F6AF36" w:tentative="1">
      <w:start w:val="1"/>
      <w:numFmt w:val="bullet"/>
      <w:lvlText w:val="•"/>
      <w:lvlJc w:val="left"/>
      <w:pPr>
        <w:tabs>
          <w:tab w:val="num" w:pos="1440"/>
        </w:tabs>
        <w:ind w:left="1440" w:hanging="360"/>
      </w:pPr>
      <w:rPr>
        <w:rFonts w:ascii="Arial" w:hAnsi="Arial" w:hint="default"/>
      </w:rPr>
    </w:lvl>
    <w:lvl w:ilvl="2" w:tplc="15C21DC8" w:tentative="1">
      <w:start w:val="1"/>
      <w:numFmt w:val="bullet"/>
      <w:lvlText w:val="•"/>
      <w:lvlJc w:val="left"/>
      <w:pPr>
        <w:tabs>
          <w:tab w:val="num" w:pos="2160"/>
        </w:tabs>
        <w:ind w:left="2160" w:hanging="360"/>
      </w:pPr>
      <w:rPr>
        <w:rFonts w:ascii="Arial" w:hAnsi="Arial" w:hint="default"/>
      </w:rPr>
    </w:lvl>
    <w:lvl w:ilvl="3" w:tplc="FD462868" w:tentative="1">
      <w:start w:val="1"/>
      <w:numFmt w:val="bullet"/>
      <w:lvlText w:val="•"/>
      <w:lvlJc w:val="left"/>
      <w:pPr>
        <w:tabs>
          <w:tab w:val="num" w:pos="2880"/>
        </w:tabs>
        <w:ind w:left="2880" w:hanging="360"/>
      </w:pPr>
      <w:rPr>
        <w:rFonts w:ascii="Arial" w:hAnsi="Arial" w:hint="default"/>
      </w:rPr>
    </w:lvl>
    <w:lvl w:ilvl="4" w:tplc="7ED65E8C" w:tentative="1">
      <w:start w:val="1"/>
      <w:numFmt w:val="bullet"/>
      <w:lvlText w:val="•"/>
      <w:lvlJc w:val="left"/>
      <w:pPr>
        <w:tabs>
          <w:tab w:val="num" w:pos="3600"/>
        </w:tabs>
        <w:ind w:left="3600" w:hanging="360"/>
      </w:pPr>
      <w:rPr>
        <w:rFonts w:ascii="Arial" w:hAnsi="Arial" w:hint="default"/>
      </w:rPr>
    </w:lvl>
    <w:lvl w:ilvl="5" w:tplc="926CB1F8" w:tentative="1">
      <w:start w:val="1"/>
      <w:numFmt w:val="bullet"/>
      <w:lvlText w:val="•"/>
      <w:lvlJc w:val="left"/>
      <w:pPr>
        <w:tabs>
          <w:tab w:val="num" w:pos="4320"/>
        </w:tabs>
        <w:ind w:left="4320" w:hanging="360"/>
      </w:pPr>
      <w:rPr>
        <w:rFonts w:ascii="Arial" w:hAnsi="Arial" w:hint="default"/>
      </w:rPr>
    </w:lvl>
    <w:lvl w:ilvl="6" w:tplc="EB9AFB1E" w:tentative="1">
      <w:start w:val="1"/>
      <w:numFmt w:val="bullet"/>
      <w:lvlText w:val="•"/>
      <w:lvlJc w:val="left"/>
      <w:pPr>
        <w:tabs>
          <w:tab w:val="num" w:pos="5040"/>
        </w:tabs>
        <w:ind w:left="5040" w:hanging="360"/>
      </w:pPr>
      <w:rPr>
        <w:rFonts w:ascii="Arial" w:hAnsi="Arial" w:hint="default"/>
      </w:rPr>
    </w:lvl>
    <w:lvl w:ilvl="7" w:tplc="584CE19A" w:tentative="1">
      <w:start w:val="1"/>
      <w:numFmt w:val="bullet"/>
      <w:lvlText w:val="•"/>
      <w:lvlJc w:val="left"/>
      <w:pPr>
        <w:tabs>
          <w:tab w:val="num" w:pos="5760"/>
        </w:tabs>
        <w:ind w:left="5760" w:hanging="360"/>
      </w:pPr>
      <w:rPr>
        <w:rFonts w:ascii="Arial" w:hAnsi="Arial" w:hint="default"/>
      </w:rPr>
    </w:lvl>
    <w:lvl w:ilvl="8" w:tplc="5F3E31B6" w:tentative="1">
      <w:start w:val="1"/>
      <w:numFmt w:val="bullet"/>
      <w:lvlText w:val="•"/>
      <w:lvlJc w:val="left"/>
      <w:pPr>
        <w:tabs>
          <w:tab w:val="num" w:pos="6480"/>
        </w:tabs>
        <w:ind w:left="6480" w:hanging="360"/>
      </w:pPr>
      <w:rPr>
        <w:rFonts w:ascii="Arial" w:hAnsi="Arial" w:hint="default"/>
      </w:rPr>
    </w:lvl>
  </w:abstractNum>
  <w:abstractNum w:abstractNumId="1">
    <w:nsid w:val="171B2E7C"/>
    <w:multiLevelType w:val="hybridMultilevel"/>
    <w:tmpl w:val="14F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40FB1"/>
    <w:multiLevelType w:val="hybridMultilevel"/>
    <w:tmpl w:val="5D9C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969A5"/>
    <w:multiLevelType w:val="hybridMultilevel"/>
    <w:tmpl w:val="48E4E0D2"/>
    <w:lvl w:ilvl="0" w:tplc="5C882C60">
      <w:start w:val="1"/>
      <w:numFmt w:val="bullet"/>
      <w:lvlText w:val="•"/>
      <w:lvlJc w:val="left"/>
      <w:pPr>
        <w:tabs>
          <w:tab w:val="num" w:pos="720"/>
        </w:tabs>
        <w:ind w:left="720" w:hanging="360"/>
      </w:pPr>
      <w:rPr>
        <w:rFonts w:ascii="Arial" w:hAnsi="Arial" w:hint="default"/>
      </w:rPr>
    </w:lvl>
    <w:lvl w:ilvl="1" w:tplc="BE4CD962" w:tentative="1">
      <w:start w:val="1"/>
      <w:numFmt w:val="bullet"/>
      <w:lvlText w:val="•"/>
      <w:lvlJc w:val="left"/>
      <w:pPr>
        <w:tabs>
          <w:tab w:val="num" w:pos="1440"/>
        </w:tabs>
        <w:ind w:left="1440" w:hanging="360"/>
      </w:pPr>
      <w:rPr>
        <w:rFonts w:ascii="Arial" w:hAnsi="Arial" w:hint="default"/>
      </w:rPr>
    </w:lvl>
    <w:lvl w:ilvl="2" w:tplc="FFD64B84" w:tentative="1">
      <w:start w:val="1"/>
      <w:numFmt w:val="bullet"/>
      <w:lvlText w:val="•"/>
      <w:lvlJc w:val="left"/>
      <w:pPr>
        <w:tabs>
          <w:tab w:val="num" w:pos="2160"/>
        </w:tabs>
        <w:ind w:left="2160" w:hanging="360"/>
      </w:pPr>
      <w:rPr>
        <w:rFonts w:ascii="Arial" w:hAnsi="Arial" w:hint="default"/>
      </w:rPr>
    </w:lvl>
    <w:lvl w:ilvl="3" w:tplc="9B80020A" w:tentative="1">
      <w:start w:val="1"/>
      <w:numFmt w:val="bullet"/>
      <w:lvlText w:val="•"/>
      <w:lvlJc w:val="left"/>
      <w:pPr>
        <w:tabs>
          <w:tab w:val="num" w:pos="2880"/>
        </w:tabs>
        <w:ind w:left="2880" w:hanging="360"/>
      </w:pPr>
      <w:rPr>
        <w:rFonts w:ascii="Arial" w:hAnsi="Arial" w:hint="default"/>
      </w:rPr>
    </w:lvl>
    <w:lvl w:ilvl="4" w:tplc="AC68B1BE" w:tentative="1">
      <w:start w:val="1"/>
      <w:numFmt w:val="bullet"/>
      <w:lvlText w:val="•"/>
      <w:lvlJc w:val="left"/>
      <w:pPr>
        <w:tabs>
          <w:tab w:val="num" w:pos="3600"/>
        </w:tabs>
        <w:ind w:left="3600" w:hanging="360"/>
      </w:pPr>
      <w:rPr>
        <w:rFonts w:ascii="Arial" w:hAnsi="Arial" w:hint="default"/>
      </w:rPr>
    </w:lvl>
    <w:lvl w:ilvl="5" w:tplc="67AA5E22" w:tentative="1">
      <w:start w:val="1"/>
      <w:numFmt w:val="bullet"/>
      <w:lvlText w:val="•"/>
      <w:lvlJc w:val="left"/>
      <w:pPr>
        <w:tabs>
          <w:tab w:val="num" w:pos="4320"/>
        </w:tabs>
        <w:ind w:left="4320" w:hanging="360"/>
      </w:pPr>
      <w:rPr>
        <w:rFonts w:ascii="Arial" w:hAnsi="Arial" w:hint="default"/>
      </w:rPr>
    </w:lvl>
    <w:lvl w:ilvl="6" w:tplc="A63CCA90" w:tentative="1">
      <w:start w:val="1"/>
      <w:numFmt w:val="bullet"/>
      <w:lvlText w:val="•"/>
      <w:lvlJc w:val="left"/>
      <w:pPr>
        <w:tabs>
          <w:tab w:val="num" w:pos="5040"/>
        </w:tabs>
        <w:ind w:left="5040" w:hanging="360"/>
      </w:pPr>
      <w:rPr>
        <w:rFonts w:ascii="Arial" w:hAnsi="Arial" w:hint="default"/>
      </w:rPr>
    </w:lvl>
    <w:lvl w:ilvl="7" w:tplc="A42A7062" w:tentative="1">
      <w:start w:val="1"/>
      <w:numFmt w:val="bullet"/>
      <w:lvlText w:val="•"/>
      <w:lvlJc w:val="left"/>
      <w:pPr>
        <w:tabs>
          <w:tab w:val="num" w:pos="5760"/>
        </w:tabs>
        <w:ind w:left="5760" w:hanging="360"/>
      </w:pPr>
      <w:rPr>
        <w:rFonts w:ascii="Arial" w:hAnsi="Arial" w:hint="default"/>
      </w:rPr>
    </w:lvl>
    <w:lvl w:ilvl="8" w:tplc="D98420FE" w:tentative="1">
      <w:start w:val="1"/>
      <w:numFmt w:val="bullet"/>
      <w:lvlText w:val="•"/>
      <w:lvlJc w:val="left"/>
      <w:pPr>
        <w:tabs>
          <w:tab w:val="num" w:pos="6480"/>
        </w:tabs>
        <w:ind w:left="6480" w:hanging="360"/>
      </w:pPr>
      <w:rPr>
        <w:rFonts w:ascii="Arial" w:hAnsi="Arial" w:hint="default"/>
      </w:rPr>
    </w:lvl>
  </w:abstractNum>
  <w:abstractNum w:abstractNumId="4">
    <w:nsid w:val="4A8341EB"/>
    <w:multiLevelType w:val="hybridMultilevel"/>
    <w:tmpl w:val="4E440AE0"/>
    <w:lvl w:ilvl="0" w:tplc="79B2FE40">
      <w:start w:val="1"/>
      <w:numFmt w:val="bullet"/>
      <w:lvlText w:val="•"/>
      <w:lvlJc w:val="left"/>
      <w:pPr>
        <w:tabs>
          <w:tab w:val="num" w:pos="720"/>
        </w:tabs>
        <w:ind w:left="720" w:hanging="360"/>
      </w:pPr>
      <w:rPr>
        <w:rFonts w:ascii="Arial" w:hAnsi="Arial" w:hint="default"/>
      </w:rPr>
    </w:lvl>
    <w:lvl w:ilvl="1" w:tplc="9FCCDDB6">
      <w:start w:val="1014"/>
      <w:numFmt w:val="bullet"/>
      <w:lvlText w:val="•"/>
      <w:lvlJc w:val="left"/>
      <w:pPr>
        <w:tabs>
          <w:tab w:val="num" w:pos="1440"/>
        </w:tabs>
        <w:ind w:left="1440" w:hanging="360"/>
      </w:pPr>
      <w:rPr>
        <w:rFonts w:ascii="Arial" w:hAnsi="Arial" w:hint="default"/>
      </w:rPr>
    </w:lvl>
    <w:lvl w:ilvl="2" w:tplc="3B50EAB6" w:tentative="1">
      <w:start w:val="1"/>
      <w:numFmt w:val="bullet"/>
      <w:lvlText w:val="•"/>
      <w:lvlJc w:val="left"/>
      <w:pPr>
        <w:tabs>
          <w:tab w:val="num" w:pos="2160"/>
        </w:tabs>
        <w:ind w:left="2160" w:hanging="360"/>
      </w:pPr>
      <w:rPr>
        <w:rFonts w:ascii="Arial" w:hAnsi="Arial" w:hint="default"/>
      </w:rPr>
    </w:lvl>
    <w:lvl w:ilvl="3" w:tplc="C7F47A32" w:tentative="1">
      <w:start w:val="1"/>
      <w:numFmt w:val="bullet"/>
      <w:lvlText w:val="•"/>
      <w:lvlJc w:val="left"/>
      <w:pPr>
        <w:tabs>
          <w:tab w:val="num" w:pos="2880"/>
        </w:tabs>
        <w:ind w:left="2880" w:hanging="360"/>
      </w:pPr>
      <w:rPr>
        <w:rFonts w:ascii="Arial" w:hAnsi="Arial" w:hint="default"/>
      </w:rPr>
    </w:lvl>
    <w:lvl w:ilvl="4" w:tplc="4EC098CC" w:tentative="1">
      <w:start w:val="1"/>
      <w:numFmt w:val="bullet"/>
      <w:lvlText w:val="•"/>
      <w:lvlJc w:val="left"/>
      <w:pPr>
        <w:tabs>
          <w:tab w:val="num" w:pos="3600"/>
        </w:tabs>
        <w:ind w:left="3600" w:hanging="360"/>
      </w:pPr>
      <w:rPr>
        <w:rFonts w:ascii="Arial" w:hAnsi="Arial" w:hint="default"/>
      </w:rPr>
    </w:lvl>
    <w:lvl w:ilvl="5" w:tplc="68561B6C" w:tentative="1">
      <w:start w:val="1"/>
      <w:numFmt w:val="bullet"/>
      <w:lvlText w:val="•"/>
      <w:lvlJc w:val="left"/>
      <w:pPr>
        <w:tabs>
          <w:tab w:val="num" w:pos="4320"/>
        </w:tabs>
        <w:ind w:left="4320" w:hanging="360"/>
      </w:pPr>
      <w:rPr>
        <w:rFonts w:ascii="Arial" w:hAnsi="Arial" w:hint="default"/>
      </w:rPr>
    </w:lvl>
    <w:lvl w:ilvl="6" w:tplc="3D38DF5A" w:tentative="1">
      <w:start w:val="1"/>
      <w:numFmt w:val="bullet"/>
      <w:lvlText w:val="•"/>
      <w:lvlJc w:val="left"/>
      <w:pPr>
        <w:tabs>
          <w:tab w:val="num" w:pos="5040"/>
        </w:tabs>
        <w:ind w:left="5040" w:hanging="360"/>
      </w:pPr>
      <w:rPr>
        <w:rFonts w:ascii="Arial" w:hAnsi="Arial" w:hint="default"/>
      </w:rPr>
    </w:lvl>
    <w:lvl w:ilvl="7" w:tplc="0E481F3E" w:tentative="1">
      <w:start w:val="1"/>
      <w:numFmt w:val="bullet"/>
      <w:lvlText w:val="•"/>
      <w:lvlJc w:val="left"/>
      <w:pPr>
        <w:tabs>
          <w:tab w:val="num" w:pos="5760"/>
        </w:tabs>
        <w:ind w:left="5760" w:hanging="360"/>
      </w:pPr>
      <w:rPr>
        <w:rFonts w:ascii="Arial" w:hAnsi="Arial" w:hint="default"/>
      </w:rPr>
    </w:lvl>
    <w:lvl w:ilvl="8" w:tplc="D01C402E" w:tentative="1">
      <w:start w:val="1"/>
      <w:numFmt w:val="bullet"/>
      <w:lvlText w:val="•"/>
      <w:lvlJc w:val="left"/>
      <w:pPr>
        <w:tabs>
          <w:tab w:val="num" w:pos="6480"/>
        </w:tabs>
        <w:ind w:left="6480" w:hanging="360"/>
      </w:pPr>
      <w:rPr>
        <w:rFonts w:ascii="Arial" w:hAnsi="Arial" w:hint="default"/>
      </w:rPr>
    </w:lvl>
  </w:abstractNum>
  <w:abstractNum w:abstractNumId="5">
    <w:nsid w:val="65BA584A"/>
    <w:multiLevelType w:val="hybridMultilevel"/>
    <w:tmpl w:val="93F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B0D73"/>
    <w:multiLevelType w:val="hybridMultilevel"/>
    <w:tmpl w:val="033C7A78"/>
    <w:lvl w:ilvl="0" w:tplc="0E7287E6">
      <w:start w:val="1"/>
      <w:numFmt w:val="decimal"/>
      <w:pStyle w:val="Section1"/>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F99520F"/>
    <w:multiLevelType w:val="hybridMultilevel"/>
    <w:tmpl w:val="7CC29478"/>
    <w:lvl w:ilvl="0" w:tplc="3F145D34">
      <w:start w:val="1"/>
      <w:numFmt w:val="bullet"/>
      <w:lvlText w:val="•"/>
      <w:lvlJc w:val="left"/>
      <w:pPr>
        <w:tabs>
          <w:tab w:val="num" w:pos="720"/>
        </w:tabs>
        <w:ind w:left="720" w:hanging="360"/>
      </w:pPr>
      <w:rPr>
        <w:rFonts w:ascii="Arial" w:hAnsi="Arial" w:hint="default"/>
      </w:rPr>
    </w:lvl>
    <w:lvl w:ilvl="1" w:tplc="19CC25EC" w:tentative="1">
      <w:start w:val="1"/>
      <w:numFmt w:val="bullet"/>
      <w:lvlText w:val="•"/>
      <w:lvlJc w:val="left"/>
      <w:pPr>
        <w:tabs>
          <w:tab w:val="num" w:pos="1440"/>
        </w:tabs>
        <w:ind w:left="1440" w:hanging="360"/>
      </w:pPr>
      <w:rPr>
        <w:rFonts w:ascii="Arial" w:hAnsi="Arial" w:hint="default"/>
      </w:rPr>
    </w:lvl>
    <w:lvl w:ilvl="2" w:tplc="4C90A2B4" w:tentative="1">
      <w:start w:val="1"/>
      <w:numFmt w:val="bullet"/>
      <w:lvlText w:val="•"/>
      <w:lvlJc w:val="left"/>
      <w:pPr>
        <w:tabs>
          <w:tab w:val="num" w:pos="2160"/>
        </w:tabs>
        <w:ind w:left="2160" w:hanging="360"/>
      </w:pPr>
      <w:rPr>
        <w:rFonts w:ascii="Arial" w:hAnsi="Arial" w:hint="default"/>
      </w:rPr>
    </w:lvl>
    <w:lvl w:ilvl="3" w:tplc="3ADEA93A" w:tentative="1">
      <w:start w:val="1"/>
      <w:numFmt w:val="bullet"/>
      <w:lvlText w:val="•"/>
      <w:lvlJc w:val="left"/>
      <w:pPr>
        <w:tabs>
          <w:tab w:val="num" w:pos="2880"/>
        </w:tabs>
        <w:ind w:left="2880" w:hanging="360"/>
      </w:pPr>
      <w:rPr>
        <w:rFonts w:ascii="Arial" w:hAnsi="Arial" w:hint="default"/>
      </w:rPr>
    </w:lvl>
    <w:lvl w:ilvl="4" w:tplc="A6D4B802">
      <w:start w:val="1"/>
      <w:numFmt w:val="bullet"/>
      <w:lvlText w:val="•"/>
      <w:lvlJc w:val="left"/>
      <w:pPr>
        <w:tabs>
          <w:tab w:val="num" w:pos="3600"/>
        </w:tabs>
        <w:ind w:left="3600" w:hanging="360"/>
      </w:pPr>
      <w:rPr>
        <w:rFonts w:ascii="Arial" w:hAnsi="Arial" w:hint="default"/>
      </w:rPr>
    </w:lvl>
    <w:lvl w:ilvl="5" w:tplc="A14C6D04" w:tentative="1">
      <w:start w:val="1"/>
      <w:numFmt w:val="bullet"/>
      <w:lvlText w:val="•"/>
      <w:lvlJc w:val="left"/>
      <w:pPr>
        <w:tabs>
          <w:tab w:val="num" w:pos="4320"/>
        </w:tabs>
        <w:ind w:left="4320" w:hanging="360"/>
      </w:pPr>
      <w:rPr>
        <w:rFonts w:ascii="Arial" w:hAnsi="Arial" w:hint="default"/>
      </w:rPr>
    </w:lvl>
    <w:lvl w:ilvl="6" w:tplc="C41E3DFC" w:tentative="1">
      <w:start w:val="1"/>
      <w:numFmt w:val="bullet"/>
      <w:lvlText w:val="•"/>
      <w:lvlJc w:val="left"/>
      <w:pPr>
        <w:tabs>
          <w:tab w:val="num" w:pos="5040"/>
        </w:tabs>
        <w:ind w:left="5040" w:hanging="360"/>
      </w:pPr>
      <w:rPr>
        <w:rFonts w:ascii="Arial" w:hAnsi="Arial" w:hint="default"/>
      </w:rPr>
    </w:lvl>
    <w:lvl w:ilvl="7" w:tplc="5EF0B386" w:tentative="1">
      <w:start w:val="1"/>
      <w:numFmt w:val="bullet"/>
      <w:lvlText w:val="•"/>
      <w:lvlJc w:val="left"/>
      <w:pPr>
        <w:tabs>
          <w:tab w:val="num" w:pos="5760"/>
        </w:tabs>
        <w:ind w:left="5760" w:hanging="360"/>
      </w:pPr>
      <w:rPr>
        <w:rFonts w:ascii="Arial" w:hAnsi="Arial" w:hint="default"/>
      </w:rPr>
    </w:lvl>
    <w:lvl w:ilvl="8" w:tplc="C068FA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7DA2"/>
    <w:rsid w:val="000152BA"/>
    <w:rsid w:val="000451DA"/>
    <w:rsid w:val="00083D6B"/>
    <w:rsid w:val="00090277"/>
    <w:rsid w:val="000B0333"/>
    <w:rsid w:val="000B1E9F"/>
    <w:rsid w:val="000F1F96"/>
    <w:rsid w:val="001170E4"/>
    <w:rsid w:val="00144BFF"/>
    <w:rsid w:val="001653B6"/>
    <w:rsid w:val="00184BBA"/>
    <w:rsid w:val="001A37FE"/>
    <w:rsid w:val="001C7E7B"/>
    <w:rsid w:val="001D1B8F"/>
    <w:rsid w:val="00203973"/>
    <w:rsid w:val="0023131C"/>
    <w:rsid w:val="0024572C"/>
    <w:rsid w:val="002C7D3A"/>
    <w:rsid w:val="003921D7"/>
    <w:rsid w:val="004408C8"/>
    <w:rsid w:val="004A0A94"/>
    <w:rsid w:val="004A7733"/>
    <w:rsid w:val="004D7DA2"/>
    <w:rsid w:val="004E57B2"/>
    <w:rsid w:val="004F2FC3"/>
    <w:rsid w:val="00514041"/>
    <w:rsid w:val="005207D4"/>
    <w:rsid w:val="005E66E3"/>
    <w:rsid w:val="006142D2"/>
    <w:rsid w:val="00616D3A"/>
    <w:rsid w:val="00753902"/>
    <w:rsid w:val="0078526B"/>
    <w:rsid w:val="008D463B"/>
    <w:rsid w:val="008F05D5"/>
    <w:rsid w:val="00932BA7"/>
    <w:rsid w:val="00945A16"/>
    <w:rsid w:val="009E649D"/>
    <w:rsid w:val="00A94CDD"/>
    <w:rsid w:val="00AD2E38"/>
    <w:rsid w:val="00B11AC6"/>
    <w:rsid w:val="00B517F7"/>
    <w:rsid w:val="00B8147C"/>
    <w:rsid w:val="00B86754"/>
    <w:rsid w:val="00BA1EAB"/>
    <w:rsid w:val="00BA677C"/>
    <w:rsid w:val="00C124EA"/>
    <w:rsid w:val="00C53D3F"/>
    <w:rsid w:val="00C65397"/>
    <w:rsid w:val="00CB2A8B"/>
    <w:rsid w:val="00D1025C"/>
    <w:rsid w:val="00D15F5B"/>
    <w:rsid w:val="00D26E19"/>
    <w:rsid w:val="00D44C74"/>
    <w:rsid w:val="00D644DD"/>
    <w:rsid w:val="00D95360"/>
    <w:rsid w:val="00E9182B"/>
    <w:rsid w:val="00EA12B0"/>
    <w:rsid w:val="00F24C52"/>
    <w:rsid w:val="00F36124"/>
    <w:rsid w:val="00F368B6"/>
    <w:rsid w:val="00F662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3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5397"/>
    <w:pPr>
      <w:ind w:left="720"/>
      <w:contextualSpacing/>
    </w:pPr>
  </w:style>
  <w:style w:type="paragraph" w:customStyle="1" w:styleId="Section1">
    <w:name w:val="Section 1"/>
    <w:basedOn w:val="Normal"/>
    <w:link w:val="Section1Char"/>
    <w:qFormat/>
    <w:rsid w:val="00EA12B0"/>
    <w:pPr>
      <w:numPr>
        <w:numId w:val="5"/>
      </w:numPr>
      <w:tabs>
        <w:tab w:val="left" w:pos="851"/>
      </w:tabs>
    </w:pPr>
    <w:rPr>
      <w:rFonts w:ascii="Calibri" w:eastAsia="Calibri" w:hAnsi="Calibri" w:cs="Times New Roman"/>
      <w:sz w:val="20"/>
      <w:szCs w:val="20"/>
      <w:lang w:val="en-ZA"/>
    </w:rPr>
  </w:style>
  <w:style w:type="character" w:customStyle="1" w:styleId="Section1Char">
    <w:name w:val="Section 1 Char"/>
    <w:link w:val="Section1"/>
    <w:rsid w:val="00EA12B0"/>
    <w:rPr>
      <w:rFonts w:ascii="Calibri" w:eastAsia="Calibri" w:hAnsi="Calibri" w:cs="Times New Roman"/>
      <w:sz w:val="20"/>
      <w:szCs w:val="20"/>
      <w:lang w:val="en-ZA"/>
    </w:rPr>
  </w:style>
  <w:style w:type="paragraph" w:styleId="FootnoteText">
    <w:name w:val="footnote text"/>
    <w:basedOn w:val="Normal"/>
    <w:link w:val="FootnoteTextChar"/>
    <w:uiPriority w:val="99"/>
    <w:semiHidden/>
    <w:unhideWhenUsed/>
    <w:rsid w:val="00520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7D4"/>
    <w:rPr>
      <w:sz w:val="20"/>
      <w:szCs w:val="20"/>
    </w:rPr>
  </w:style>
  <w:style w:type="character" w:styleId="FootnoteReference">
    <w:name w:val="footnote reference"/>
    <w:basedOn w:val="DefaultParagraphFont"/>
    <w:uiPriority w:val="99"/>
    <w:semiHidden/>
    <w:unhideWhenUsed/>
    <w:rsid w:val="005207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3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5397"/>
    <w:pPr>
      <w:ind w:left="720"/>
      <w:contextualSpacing/>
    </w:pPr>
  </w:style>
  <w:style w:type="paragraph" w:customStyle="1" w:styleId="Section1">
    <w:name w:val="Section 1"/>
    <w:basedOn w:val="Normal"/>
    <w:link w:val="Section1Char"/>
    <w:qFormat/>
    <w:rsid w:val="00EA12B0"/>
    <w:pPr>
      <w:numPr>
        <w:numId w:val="5"/>
      </w:numPr>
      <w:tabs>
        <w:tab w:val="left" w:pos="851"/>
      </w:tabs>
    </w:pPr>
    <w:rPr>
      <w:rFonts w:ascii="Calibri" w:eastAsia="Calibri" w:hAnsi="Calibri" w:cs="Times New Roman"/>
      <w:sz w:val="20"/>
      <w:szCs w:val="20"/>
      <w:lang w:val="en-ZA"/>
    </w:rPr>
  </w:style>
  <w:style w:type="character" w:customStyle="1" w:styleId="Section1Char">
    <w:name w:val="Section 1 Char"/>
    <w:link w:val="Section1"/>
    <w:rsid w:val="00EA12B0"/>
    <w:rPr>
      <w:rFonts w:ascii="Calibri" w:eastAsia="Calibri" w:hAnsi="Calibri" w:cs="Times New Roman"/>
      <w:sz w:val="20"/>
      <w:szCs w:val="20"/>
      <w:lang w:val="en-ZA"/>
    </w:rPr>
  </w:style>
  <w:style w:type="paragraph" w:styleId="FootnoteText">
    <w:name w:val="footnote text"/>
    <w:basedOn w:val="Normal"/>
    <w:link w:val="FootnoteTextChar"/>
    <w:uiPriority w:val="99"/>
    <w:semiHidden/>
    <w:unhideWhenUsed/>
    <w:rsid w:val="00520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7D4"/>
    <w:rPr>
      <w:sz w:val="20"/>
      <w:szCs w:val="20"/>
    </w:rPr>
  </w:style>
  <w:style w:type="character" w:styleId="FootnoteReference">
    <w:name w:val="footnote reference"/>
    <w:basedOn w:val="DefaultParagraphFont"/>
    <w:uiPriority w:val="99"/>
    <w:semiHidden/>
    <w:unhideWhenUsed/>
    <w:rsid w:val="005207D4"/>
    <w:rPr>
      <w:vertAlign w:val="superscript"/>
    </w:rPr>
  </w:style>
</w:styles>
</file>

<file path=word/webSettings.xml><?xml version="1.0" encoding="utf-8"?>
<w:webSettings xmlns:r="http://schemas.openxmlformats.org/officeDocument/2006/relationships" xmlns:w="http://schemas.openxmlformats.org/wordprocessingml/2006/main">
  <w:divs>
    <w:div w:id="663975974">
      <w:bodyDiv w:val="1"/>
      <w:marLeft w:val="0"/>
      <w:marRight w:val="0"/>
      <w:marTop w:val="0"/>
      <w:marBottom w:val="0"/>
      <w:divBdr>
        <w:top w:val="none" w:sz="0" w:space="0" w:color="auto"/>
        <w:left w:val="none" w:sz="0" w:space="0" w:color="auto"/>
        <w:bottom w:val="none" w:sz="0" w:space="0" w:color="auto"/>
        <w:right w:val="none" w:sz="0" w:space="0" w:color="auto"/>
      </w:divBdr>
      <w:divsChild>
        <w:div w:id="2123182601">
          <w:marLeft w:val="288"/>
          <w:marRight w:val="0"/>
          <w:marTop w:val="106"/>
          <w:marBottom w:val="0"/>
          <w:divBdr>
            <w:top w:val="none" w:sz="0" w:space="0" w:color="auto"/>
            <w:left w:val="none" w:sz="0" w:space="0" w:color="auto"/>
            <w:bottom w:val="none" w:sz="0" w:space="0" w:color="auto"/>
            <w:right w:val="none" w:sz="0" w:space="0" w:color="auto"/>
          </w:divBdr>
        </w:div>
        <w:div w:id="936980088">
          <w:marLeft w:val="288"/>
          <w:marRight w:val="0"/>
          <w:marTop w:val="106"/>
          <w:marBottom w:val="0"/>
          <w:divBdr>
            <w:top w:val="none" w:sz="0" w:space="0" w:color="auto"/>
            <w:left w:val="none" w:sz="0" w:space="0" w:color="auto"/>
            <w:bottom w:val="none" w:sz="0" w:space="0" w:color="auto"/>
            <w:right w:val="none" w:sz="0" w:space="0" w:color="auto"/>
          </w:divBdr>
        </w:div>
        <w:div w:id="968626168">
          <w:marLeft w:val="288"/>
          <w:marRight w:val="0"/>
          <w:marTop w:val="106"/>
          <w:marBottom w:val="0"/>
          <w:divBdr>
            <w:top w:val="none" w:sz="0" w:space="0" w:color="auto"/>
            <w:left w:val="none" w:sz="0" w:space="0" w:color="auto"/>
            <w:bottom w:val="none" w:sz="0" w:space="0" w:color="auto"/>
            <w:right w:val="none" w:sz="0" w:space="0" w:color="auto"/>
          </w:divBdr>
        </w:div>
        <w:div w:id="1683778503">
          <w:marLeft w:val="720"/>
          <w:marRight w:val="0"/>
          <w:marTop w:val="86"/>
          <w:marBottom w:val="0"/>
          <w:divBdr>
            <w:top w:val="none" w:sz="0" w:space="0" w:color="auto"/>
            <w:left w:val="none" w:sz="0" w:space="0" w:color="auto"/>
            <w:bottom w:val="none" w:sz="0" w:space="0" w:color="auto"/>
            <w:right w:val="none" w:sz="0" w:space="0" w:color="auto"/>
          </w:divBdr>
        </w:div>
        <w:div w:id="1624918416">
          <w:marLeft w:val="288"/>
          <w:marRight w:val="0"/>
          <w:marTop w:val="106"/>
          <w:marBottom w:val="0"/>
          <w:divBdr>
            <w:top w:val="none" w:sz="0" w:space="0" w:color="auto"/>
            <w:left w:val="none" w:sz="0" w:space="0" w:color="auto"/>
            <w:bottom w:val="none" w:sz="0" w:space="0" w:color="auto"/>
            <w:right w:val="none" w:sz="0" w:space="0" w:color="auto"/>
          </w:divBdr>
        </w:div>
        <w:div w:id="1421756636">
          <w:marLeft w:val="288"/>
          <w:marRight w:val="0"/>
          <w:marTop w:val="106"/>
          <w:marBottom w:val="0"/>
          <w:divBdr>
            <w:top w:val="none" w:sz="0" w:space="0" w:color="auto"/>
            <w:left w:val="none" w:sz="0" w:space="0" w:color="auto"/>
            <w:bottom w:val="none" w:sz="0" w:space="0" w:color="auto"/>
            <w:right w:val="none" w:sz="0" w:space="0" w:color="auto"/>
          </w:divBdr>
        </w:div>
        <w:div w:id="2090497261">
          <w:marLeft w:val="720"/>
          <w:marRight w:val="0"/>
          <w:marTop w:val="86"/>
          <w:marBottom w:val="0"/>
          <w:divBdr>
            <w:top w:val="none" w:sz="0" w:space="0" w:color="auto"/>
            <w:left w:val="none" w:sz="0" w:space="0" w:color="auto"/>
            <w:bottom w:val="none" w:sz="0" w:space="0" w:color="auto"/>
            <w:right w:val="none" w:sz="0" w:space="0" w:color="auto"/>
          </w:divBdr>
        </w:div>
        <w:div w:id="761534533">
          <w:marLeft w:val="720"/>
          <w:marRight w:val="0"/>
          <w:marTop w:val="86"/>
          <w:marBottom w:val="0"/>
          <w:divBdr>
            <w:top w:val="none" w:sz="0" w:space="0" w:color="auto"/>
            <w:left w:val="none" w:sz="0" w:space="0" w:color="auto"/>
            <w:bottom w:val="none" w:sz="0" w:space="0" w:color="auto"/>
            <w:right w:val="none" w:sz="0" w:space="0" w:color="auto"/>
          </w:divBdr>
        </w:div>
      </w:divsChild>
    </w:div>
    <w:div w:id="1122649118">
      <w:bodyDiv w:val="1"/>
      <w:marLeft w:val="0"/>
      <w:marRight w:val="0"/>
      <w:marTop w:val="0"/>
      <w:marBottom w:val="0"/>
      <w:divBdr>
        <w:top w:val="none" w:sz="0" w:space="0" w:color="auto"/>
        <w:left w:val="none" w:sz="0" w:space="0" w:color="auto"/>
        <w:bottom w:val="none" w:sz="0" w:space="0" w:color="auto"/>
        <w:right w:val="none" w:sz="0" w:space="0" w:color="auto"/>
      </w:divBdr>
      <w:divsChild>
        <w:div w:id="1682538453">
          <w:marLeft w:val="288"/>
          <w:marRight w:val="0"/>
          <w:marTop w:val="115"/>
          <w:marBottom w:val="0"/>
          <w:divBdr>
            <w:top w:val="none" w:sz="0" w:space="0" w:color="auto"/>
            <w:left w:val="none" w:sz="0" w:space="0" w:color="auto"/>
            <w:bottom w:val="none" w:sz="0" w:space="0" w:color="auto"/>
            <w:right w:val="none" w:sz="0" w:space="0" w:color="auto"/>
          </w:divBdr>
        </w:div>
      </w:divsChild>
    </w:div>
    <w:div w:id="1582835420">
      <w:bodyDiv w:val="1"/>
      <w:marLeft w:val="0"/>
      <w:marRight w:val="0"/>
      <w:marTop w:val="0"/>
      <w:marBottom w:val="0"/>
      <w:divBdr>
        <w:top w:val="none" w:sz="0" w:space="0" w:color="auto"/>
        <w:left w:val="none" w:sz="0" w:space="0" w:color="auto"/>
        <w:bottom w:val="none" w:sz="0" w:space="0" w:color="auto"/>
        <w:right w:val="none" w:sz="0" w:space="0" w:color="auto"/>
      </w:divBdr>
      <w:divsChild>
        <w:div w:id="932593790">
          <w:marLeft w:val="3326"/>
          <w:marRight w:val="0"/>
          <w:marTop w:val="0"/>
          <w:marBottom w:val="0"/>
          <w:divBdr>
            <w:top w:val="none" w:sz="0" w:space="0" w:color="auto"/>
            <w:left w:val="none" w:sz="0" w:space="0" w:color="auto"/>
            <w:bottom w:val="none" w:sz="0" w:space="0" w:color="auto"/>
            <w:right w:val="none" w:sz="0" w:space="0" w:color="auto"/>
          </w:divBdr>
        </w:div>
        <w:div w:id="815880055">
          <w:marLeft w:val="3326"/>
          <w:marRight w:val="0"/>
          <w:marTop w:val="0"/>
          <w:marBottom w:val="0"/>
          <w:divBdr>
            <w:top w:val="none" w:sz="0" w:space="0" w:color="auto"/>
            <w:left w:val="none" w:sz="0" w:space="0" w:color="auto"/>
            <w:bottom w:val="none" w:sz="0" w:space="0" w:color="auto"/>
            <w:right w:val="none" w:sz="0" w:space="0" w:color="auto"/>
          </w:divBdr>
        </w:div>
        <w:div w:id="723675993">
          <w:marLeft w:val="3326"/>
          <w:marRight w:val="0"/>
          <w:marTop w:val="0"/>
          <w:marBottom w:val="0"/>
          <w:divBdr>
            <w:top w:val="none" w:sz="0" w:space="0" w:color="auto"/>
            <w:left w:val="none" w:sz="0" w:space="0" w:color="auto"/>
            <w:bottom w:val="none" w:sz="0" w:space="0" w:color="auto"/>
            <w:right w:val="none" w:sz="0" w:space="0" w:color="auto"/>
          </w:divBdr>
        </w:div>
      </w:divsChild>
    </w:div>
    <w:div w:id="1952320254">
      <w:bodyDiv w:val="1"/>
      <w:marLeft w:val="0"/>
      <w:marRight w:val="0"/>
      <w:marTop w:val="0"/>
      <w:marBottom w:val="0"/>
      <w:divBdr>
        <w:top w:val="none" w:sz="0" w:space="0" w:color="auto"/>
        <w:left w:val="none" w:sz="0" w:space="0" w:color="auto"/>
        <w:bottom w:val="none" w:sz="0" w:space="0" w:color="auto"/>
        <w:right w:val="none" w:sz="0" w:space="0" w:color="auto"/>
      </w:divBdr>
      <w:divsChild>
        <w:div w:id="2136942935">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F512-108A-4C66-A06E-1D56979A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Linneweber</dc:creator>
  <cp:lastModifiedBy>Mattb</cp:lastModifiedBy>
  <cp:revision>2</cp:revision>
  <dcterms:created xsi:type="dcterms:W3CDTF">2012-06-07T09:36:00Z</dcterms:created>
  <dcterms:modified xsi:type="dcterms:W3CDTF">2012-06-07T09:36:00Z</dcterms:modified>
</cp:coreProperties>
</file>